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A11" w:rsidRPr="0047772E" w:rsidRDefault="00AC7A11" w:rsidP="0047772E">
      <w:pPr>
        <w:spacing w:line="360" w:lineRule="auto"/>
        <w:jc w:val="both"/>
        <w:rPr>
          <w:rFonts w:cstheme="minorHAnsi"/>
          <w:b/>
          <w:lang w:val="en-US"/>
        </w:rPr>
      </w:pPr>
      <w:bookmarkStart w:id="0" w:name="_GoBack"/>
      <w:bookmarkEnd w:id="0"/>
      <w:r w:rsidRPr="0047772E">
        <w:rPr>
          <w:rFonts w:cstheme="minorHAnsi"/>
          <w:b/>
          <w:lang w:val="en-US"/>
        </w:rPr>
        <w:t>Treatment of CO transfer postings in the §27 area for the Calculation of LOM third-party funds &amp; R&amp;D survey</w:t>
      </w:r>
    </w:p>
    <w:p w:rsidR="00AC7A11" w:rsidRPr="0047772E" w:rsidRDefault="00AC7A11" w:rsidP="0047772E">
      <w:pPr>
        <w:spacing w:after="360" w:line="360" w:lineRule="auto"/>
        <w:jc w:val="both"/>
        <w:rPr>
          <w:rFonts w:cstheme="minorHAnsi"/>
          <w:lang w:val="en-US"/>
        </w:rPr>
      </w:pPr>
      <w:r w:rsidRPr="0047772E">
        <w:rPr>
          <w:rFonts w:cstheme="minorHAnsi"/>
          <w:lang w:val="en-US"/>
        </w:rPr>
        <w:t>(As of 2009-05-12)</w:t>
      </w:r>
    </w:p>
    <w:p w:rsidR="00AC7A11" w:rsidRPr="0047772E" w:rsidRDefault="00AC7A11" w:rsidP="0047772E">
      <w:pPr>
        <w:spacing w:line="360" w:lineRule="auto"/>
        <w:jc w:val="both"/>
        <w:rPr>
          <w:rFonts w:cstheme="minorHAnsi"/>
          <w:lang w:val="en-US"/>
        </w:rPr>
      </w:pPr>
      <w:r w:rsidRPr="0047772E">
        <w:rPr>
          <w:rFonts w:cstheme="minorHAnsi"/>
          <w:lang w:val="en-US"/>
        </w:rPr>
        <w:t>The transfer of budget funds from one project to another is carried out in the area of §27-projects is carried out by means of so-called "CO-transfers". These CO transfers are based on different circumstances, which can be traced back to two types:</w:t>
      </w:r>
    </w:p>
    <w:p w:rsidR="00AC7A11" w:rsidRPr="0047772E" w:rsidRDefault="00AC7A11" w:rsidP="0047772E">
      <w:pPr>
        <w:spacing w:line="360" w:lineRule="auto"/>
        <w:jc w:val="both"/>
        <w:rPr>
          <w:rFonts w:cstheme="minorHAnsi"/>
          <w:lang w:val="en-US"/>
        </w:rPr>
      </w:pPr>
      <w:r w:rsidRPr="0047772E">
        <w:rPr>
          <w:rFonts w:cstheme="minorHAnsi"/>
          <w:lang w:val="en-US"/>
        </w:rPr>
        <w:t xml:space="preserve">1) Budget offsets are made when, for example, residual funds from completed from completed projects ("overages") are transferred to asset accounts or, conversely or, conversely, when a credit balance in the assets account is used to cover an overdrawn project is used. In the past, budget balancing by means of CO transfer has also been used to made to reallocate budget funds between ongoing projects. According to the Third-Party Funding Guideline of 06.03.2009, such "transfers for </w:t>
      </w:r>
      <w:proofErr w:type="spellStart"/>
      <w:r w:rsidRPr="0047772E">
        <w:rPr>
          <w:rFonts w:cstheme="minorHAnsi"/>
          <w:lang w:val="en-US"/>
        </w:rPr>
        <w:t>for</w:t>
      </w:r>
      <w:proofErr w:type="spellEnd"/>
      <w:r w:rsidRPr="0047772E">
        <w:rPr>
          <w:rFonts w:cstheme="minorHAnsi"/>
          <w:lang w:val="en-US"/>
        </w:rPr>
        <w:t xml:space="preserve"> financing reasons" should no longer be carried out, but only "objectively justified" transfers. Furthermore, the funds provided by IFTZ and MFI were transferred to the §27 accounts of the funding recipients by means of CO reclassifications.</w:t>
      </w:r>
    </w:p>
    <w:p w:rsidR="00AC7A11" w:rsidRPr="0047772E" w:rsidRDefault="00AC7A11" w:rsidP="0047772E">
      <w:pPr>
        <w:spacing w:line="360" w:lineRule="auto"/>
        <w:jc w:val="both"/>
        <w:rPr>
          <w:rFonts w:cstheme="minorHAnsi"/>
          <w:lang w:val="en-US"/>
        </w:rPr>
      </w:pPr>
      <w:r w:rsidRPr="0047772E">
        <w:rPr>
          <w:rFonts w:cstheme="minorHAnsi"/>
          <w:lang w:val="en-US"/>
        </w:rPr>
        <w:t>2) In addition, CO transfer postings are used for true activity allocations i.e., to account for internal services provided by one project to another.</w:t>
      </w:r>
      <w:r w:rsidRPr="0047772E">
        <w:rPr>
          <w:rFonts w:cstheme="minorHAnsi"/>
          <w:vertAlign w:val="superscript"/>
          <w:lang w:val="en-US"/>
        </w:rPr>
        <w:t>1</w:t>
      </w:r>
    </w:p>
    <w:p w:rsidR="00AC7A11" w:rsidRPr="0047772E" w:rsidRDefault="00AC7A11" w:rsidP="0047772E">
      <w:pPr>
        <w:spacing w:line="360" w:lineRule="auto"/>
        <w:jc w:val="both"/>
        <w:rPr>
          <w:rFonts w:cstheme="minorHAnsi"/>
          <w:lang w:val="en-US"/>
        </w:rPr>
      </w:pPr>
      <w:r w:rsidRPr="0047772E">
        <w:rPr>
          <w:rFonts w:cstheme="minorHAnsi"/>
          <w:lang w:val="en-US"/>
        </w:rPr>
        <w:t>CO transfer postings are a tool for internal cost accounting, so they are reflected not reflected at the financial accounting level or from the perspective of the university as a whole. From the perspective of the individual project, on the other hand, they do show up, since they reduce or increase the available budget resources of the individual project.</w:t>
      </w:r>
    </w:p>
    <w:p w:rsidR="00AC7A11" w:rsidRPr="0047772E" w:rsidRDefault="00AC7A11" w:rsidP="0047772E">
      <w:pPr>
        <w:spacing w:line="360" w:lineRule="auto"/>
        <w:jc w:val="both"/>
        <w:rPr>
          <w:rFonts w:cstheme="minorHAnsi"/>
          <w:lang w:val="en-US"/>
        </w:rPr>
      </w:pPr>
      <w:r w:rsidRPr="0047772E">
        <w:rPr>
          <w:rFonts w:cstheme="minorHAnsi"/>
          <w:lang w:val="en-US"/>
        </w:rPr>
        <w:t>Although, from a revenue/expense perspective, debit entries represent internal expenses, while credit entries represent internal revenues, CO transfers are not reflected in the logic, but are recorded exclusively as "secondary non-personnel expenses". This means that debits are shown as a positive expense, while credits are shown as a negative expense. For the recipient project (credit entry, negative non-personnel expense), this means that it can incur additional expenses in the amount of the of the CO transfer posting, whereby the type of expenditure is irrelevant.</w:t>
      </w:r>
    </w:p>
    <w:p w:rsidR="00AC7A11" w:rsidRPr="0047772E" w:rsidRDefault="00AC7A11" w:rsidP="0047772E">
      <w:pPr>
        <w:spacing w:line="360" w:lineRule="auto"/>
        <w:jc w:val="both"/>
        <w:rPr>
          <w:rFonts w:cstheme="minorHAnsi"/>
          <w:lang w:val="en-US"/>
        </w:rPr>
      </w:pPr>
      <w:r w:rsidRPr="0047772E">
        <w:rPr>
          <w:rFonts w:cstheme="minorHAnsi"/>
          <w:lang w:val="en-US"/>
        </w:rPr>
        <w:t>For the calculation of LOM-relevant expenditures or expenditures surveyed by Statistics Austria, this procedure is not relevant.</w:t>
      </w:r>
    </w:p>
    <w:p w:rsidR="00AC7A11" w:rsidRPr="0047772E" w:rsidRDefault="00AC7A11" w:rsidP="0047772E">
      <w:pPr>
        <w:spacing w:line="360" w:lineRule="auto"/>
        <w:jc w:val="both"/>
        <w:rPr>
          <w:rFonts w:cstheme="minorHAnsi"/>
          <w:lang w:val="en-US"/>
        </w:rPr>
      </w:pPr>
      <w:r w:rsidRPr="0047772E">
        <w:rPr>
          <w:rFonts w:cstheme="minorHAnsi"/>
          <w:lang w:val="en-US"/>
        </w:rPr>
        <w:t xml:space="preserve">This approach is problematic for the calculation of LOM-relevant expenditures or expenditures surveyed by Statistics Austria, as it leads to distortions of the expenditure landscape or to negative </w:t>
      </w:r>
      <w:r w:rsidRPr="0047772E">
        <w:rPr>
          <w:rFonts w:cstheme="minorHAnsi"/>
          <w:lang w:val="en-US"/>
        </w:rPr>
        <w:lastRenderedPageBreak/>
        <w:t xml:space="preserve">expenditure balances. For this </w:t>
      </w:r>
      <w:proofErr w:type="gramStart"/>
      <w:r w:rsidRPr="0047772E">
        <w:rPr>
          <w:rFonts w:cstheme="minorHAnsi"/>
          <w:lang w:val="en-US"/>
        </w:rPr>
        <w:t>reason</w:t>
      </w:r>
      <w:proofErr w:type="gramEnd"/>
      <w:r w:rsidRPr="0047772E">
        <w:rPr>
          <w:rFonts w:cstheme="minorHAnsi"/>
          <w:lang w:val="en-US"/>
        </w:rPr>
        <w:t xml:space="preserve"> the CO transfers in the calculation of LOM third-party funds and the R&amp;D survey are treated as described below.</w:t>
      </w:r>
    </w:p>
    <w:p w:rsidR="0047772E" w:rsidRPr="0047772E" w:rsidRDefault="00AC7A11" w:rsidP="0047772E">
      <w:pPr>
        <w:spacing w:line="360" w:lineRule="auto"/>
        <w:jc w:val="both"/>
        <w:rPr>
          <w:rFonts w:cstheme="minorHAnsi"/>
          <w:lang w:val="en-US"/>
        </w:rPr>
      </w:pPr>
      <w:r w:rsidRPr="0047772E">
        <w:rPr>
          <w:rFonts w:cstheme="minorHAnsi"/>
          <w:lang w:val="en-US"/>
        </w:rPr>
        <w:t>For simplicity, the examples given below assume that in projects, only material expenses were incurred and the project budget was fully utilized. has been fully utilized.</w:t>
      </w:r>
    </w:p>
    <w:p w:rsidR="0047772E" w:rsidRPr="0047772E" w:rsidRDefault="0047772E" w:rsidP="0047772E">
      <w:pPr>
        <w:spacing w:after="240" w:line="360" w:lineRule="auto"/>
        <w:rPr>
          <w:rFonts w:eastAsia="Times New Roman" w:cstheme="minorHAnsi"/>
          <w:color w:val="000000"/>
          <w:lang w:val="en-US" w:eastAsia="de-DE"/>
        </w:rPr>
      </w:pPr>
      <w:r w:rsidRPr="0047772E">
        <w:rPr>
          <w:rFonts w:eastAsia="Times New Roman" w:cstheme="minorHAnsi"/>
          <w:b/>
          <w:bCs/>
          <w:i/>
          <w:iCs/>
          <w:color w:val="000000"/>
          <w:lang w:val="en-US" w:eastAsia="de-DE"/>
        </w:rPr>
        <w:t>Ad 1) Budget Balancing</w:t>
      </w:r>
      <w:r w:rsidRPr="0047772E">
        <w:rPr>
          <w:rFonts w:eastAsia="Times New Roman" w:cstheme="minorHAnsi"/>
          <w:b/>
          <w:bCs/>
          <w:i/>
          <w:iCs/>
          <w:color w:val="000000"/>
          <w:lang w:val="en-US" w:eastAsia="de-DE"/>
        </w:rPr>
        <w:br/>
      </w:r>
      <w:r w:rsidRPr="0047772E">
        <w:rPr>
          <w:rFonts w:eastAsia="Times New Roman" w:cstheme="minorHAnsi"/>
          <w:color w:val="000000"/>
          <w:lang w:val="en-US" w:eastAsia="de-DE"/>
        </w:rPr>
        <w:t xml:space="preserve">Project 1 (P1) provides project 2 (P2) with funds in the amount of 60,000.00 </w:t>
      </w:r>
      <w:r>
        <w:rPr>
          <w:rFonts w:eastAsia="Times New Roman" w:cstheme="minorHAnsi"/>
          <w:color w:val="000000"/>
          <w:lang w:val="en-US" w:eastAsia="de-DE"/>
        </w:rPr>
        <w:t>€</w:t>
      </w:r>
      <w:r w:rsidRPr="0047772E">
        <w:rPr>
          <w:rFonts w:eastAsia="Times New Roman" w:cstheme="minorHAnsi"/>
          <w:color w:val="000000"/>
          <w:lang w:val="en-US" w:eastAsia="de-DE"/>
        </w:rPr>
        <w:t>.</w:t>
      </w:r>
    </w:p>
    <w:p w:rsidR="0047772E" w:rsidRPr="0047772E" w:rsidRDefault="0047772E" w:rsidP="0047772E">
      <w:pPr>
        <w:spacing w:after="240" w:line="360" w:lineRule="auto"/>
        <w:rPr>
          <w:rFonts w:eastAsia="Times New Roman" w:cstheme="minorHAnsi"/>
          <w:lang w:eastAsia="de-DE"/>
        </w:rPr>
      </w:pPr>
      <w:r w:rsidRPr="0047772E">
        <w:rPr>
          <w:rFonts w:eastAsia="Times New Roman" w:cstheme="minorHAnsi"/>
          <w:b/>
          <w:bCs/>
          <w:color w:val="000000"/>
          <w:lang w:eastAsia="de-DE"/>
        </w:rPr>
        <w:t>Proje</w:t>
      </w:r>
      <w:r>
        <w:rPr>
          <w:rFonts w:eastAsia="Times New Roman" w:cstheme="minorHAnsi"/>
          <w:b/>
          <w:bCs/>
          <w:color w:val="000000"/>
          <w:lang w:eastAsia="de-DE"/>
        </w:rPr>
        <w:t>c</w:t>
      </w:r>
      <w:r w:rsidRPr="0047772E">
        <w:rPr>
          <w:rFonts w:eastAsia="Times New Roman" w:cstheme="minorHAnsi"/>
          <w:b/>
          <w:bCs/>
          <w:color w:val="000000"/>
          <w:lang w:eastAsia="de-DE"/>
        </w:rPr>
        <w:t>t 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12"/>
        <w:gridCol w:w="2925"/>
        <w:gridCol w:w="1812"/>
        <w:gridCol w:w="2513"/>
      </w:tblGrid>
      <w:tr w:rsidR="0047772E" w:rsidRPr="0047772E" w:rsidTr="0047772E">
        <w:tc>
          <w:tcPr>
            <w:tcW w:w="3045"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926C31" w:rsidP="0047772E">
            <w:pPr>
              <w:spacing w:after="0" w:line="360" w:lineRule="auto"/>
              <w:rPr>
                <w:rFonts w:eastAsia="Times New Roman" w:cstheme="minorHAnsi"/>
                <w:lang w:eastAsia="de-DE"/>
              </w:rPr>
            </w:pPr>
            <w:proofErr w:type="spellStart"/>
            <w:r>
              <w:rPr>
                <w:rFonts w:eastAsia="Times New Roman" w:cstheme="minorHAnsi"/>
                <w:b/>
                <w:bCs/>
                <w:color w:val="000000"/>
                <w:lang w:eastAsia="de-DE"/>
              </w:rPr>
              <w:t>Amount</w:t>
            </w:r>
            <w:proofErr w:type="spellEnd"/>
            <w:r w:rsidR="0047772E" w:rsidRPr="0047772E">
              <w:rPr>
                <w:rFonts w:eastAsia="Times New Roman" w:cstheme="minorHAnsi"/>
                <w:b/>
                <w:bCs/>
                <w:color w:val="000000"/>
                <w:lang w:eastAsia="de-DE"/>
              </w:rPr>
              <w:t xml:space="preserve"> </w:t>
            </w:r>
          </w:p>
        </w:tc>
        <w:tc>
          <w:tcPr>
            <w:tcW w:w="6135"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926C31" w:rsidP="0047772E">
            <w:pPr>
              <w:spacing w:after="0" w:line="360" w:lineRule="auto"/>
              <w:rPr>
                <w:rFonts w:eastAsia="Times New Roman" w:cstheme="minorHAnsi"/>
                <w:lang w:eastAsia="de-DE"/>
              </w:rPr>
            </w:pPr>
            <w:proofErr w:type="spellStart"/>
            <w:r>
              <w:rPr>
                <w:rFonts w:eastAsia="Times New Roman" w:cstheme="minorHAnsi"/>
                <w:b/>
                <w:bCs/>
                <w:color w:val="000000"/>
                <w:lang w:eastAsia="de-DE"/>
              </w:rPr>
              <w:t>Effort</w:t>
            </w:r>
            <w:proofErr w:type="spellEnd"/>
            <w:r w:rsidR="0047772E" w:rsidRPr="0047772E">
              <w:rPr>
                <w:rFonts w:eastAsia="Times New Roman" w:cstheme="minorHAnsi"/>
                <w:b/>
                <w:bCs/>
                <w:color w:val="000000"/>
                <w:lang w:eastAsia="de-DE"/>
              </w:rPr>
              <w:t xml:space="preserve"> </w:t>
            </w:r>
          </w:p>
        </w:tc>
        <w:tc>
          <w:tcPr>
            <w:tcW w:w="3180"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926C31" w:rsidP="0047772E">
            <w:pPr>
              <w:spacing w:after="0" w:line="360" w:lineRule="auto"/>
              <w:rPr>
                <w:rFonts w:eastAsia="Times New Roman" w:cstheme="minorHAnsi"/>
                <w:lang w:eastAsia="de-DE"/>
              </w:rPr>
            </w:pPr>
            <w:proofErr w:type="spellStart"/>
            <w:r>
              <w:rPr>
                <w:rFonts w:eastAsia="Times New Roman" w:cstheme="minorHAnsi"/>
                <w:b/>
                <w:bCs/>
                <w:color w:val="000000"/>
                <w:lang w:eastAsia="de-DE"/>
              </w:rPr>
              <w:t>Amount</w:t>
            </w:r>
            <w:proofErr w:type="spellEnd"/>
            <w:r w:rsidR="0047772E" w:rsidRPr="0047772E">
              <w:rPr>
                <w:rFonts w:eastAsia="Times New Roman" w:cstheme="minorHAnsi"/>
                <w:b/>
                <w:bCs/>
                <w:color w:val="000000"/>
                <w:lang w:eastAsia="de-DE"/>
              </w:rPr>
              <w:t xml:space="preserve"> </w:t>
            </w:r>
          </w:p>
        </w:tc>
        <w:tc>
          <w:tcPr>
            <w:tcW w:w="6000"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926C31" w:rsidP="0047772E">
            <w:pPr>
              <w:spacing w:after="0" w:line="360" w:lineRule="auto"/>
              <w:rPr>
                <w:rFonts w:eastAsia="Times New Roman" w:cstheme="minorHAnsi"/>
                <w:lang w:eastAsia="de-DE"/>
              </w:rPr>
            </w:pPr>
            <w:r>
              <w:rPr>
                <w:rFonts w:eastAsia="Times New Roman" w:cstheme="minorHAnsi"/>
                <w:b/>
                <w:bCs/>
                <w:color w:val="000000"/>
                <w:lang w:eastAsia="de-DE"/>
              </w:rPr>
              <w:t>Revenue</w:t>
            </w:r>
          </w:p>
        </w:tc>
      </w:tr>
      <w:tr w:rsidR="0047772E" w:rsidRPr="0047772E" w:rsidTr="0047772E">
        <w:tc>
          <w:tcPr>
            <w:tcW w:w="3180"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47772E" w:rsidP="0047772E">
            <w:pPr>
              <w:spacing w:after="0" w:line="360" w:lineRule="auto"/>
              <w:rPr>
                <w:rFonts w:eastAsia="Times New Roman" w:cstheme="minorHAnsi"/>
                <w:lang w:eastAsia="de-DE"/>
              </w:rPr>
            </w:pPr>
            <w:r w:rsidRPr="0047772E">
              <w:rPr>
                <w:rFonts w:eastAsia="Times New Roman" w:cstheme="minorHAnsi"/>
                <w:color w:val="000000"/>
                <w:lang w:eastAsia="de-DE"/>
              </w:rPr>
              <w:t xml:space="preserve">100.000,00 </w:t>
            </w:r>
          </w:p>
        </w:tc>
        <w:tc>
          <w:tcPr>
            <w:tcW w:w="6000"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47772E" w:rsidP="0047772E">
            <w:pPr>
              <w:spacing w:after="0" w:line="360" w:lineRule="auto"/>
              <w:rPr>
                <w:rFonts w:eastAsia="Times New Roman" w:cstheme="minorHAnsi"/>
                <w:lang w:eastAsia="de-DE"/>
              </w:rPr>
            </w:pPr>
            <w:proofErr w:type="spellStart"/>
            <w:r w:rsidRPr="0047772E">
              <w:rPr>
                <w:rFonts w:eastAsia="Times New Roman" w:cstheme="minorHAnsi"/>
                <w:color w:val="000000"/>
                <w:lang w:eastAsia="de-DE"/>
              </w:rPr>
              <w:t>Revenues</w:t>
            </w:r>
            <w:proofErr w:type="spellEnd"/>
            <w:r w:rsidRPr="0047772E">
              <w:rPr>
                <w:rFonts w:eastAsia="Times New Roman" w:cstheme="minorHAnsi"/>
                <w:color w:val="000000"/>
                <w:lang w:eastAsia="de-DE"/>
              </w:rPr>
              <w:t xml:space="preserve"> Clinical </w:t>
            </w:r>
            <w:proofErr w:type="spellStart"/>
            <w:r w:rsidRPr="0047772E">
              <w:rPr>
                <w:rFonts w:eastAsia="Times New Roman" w:cstheme="minorHAnsi"/>
                <w:color w:val="000000"/>
                <w:lang w:eastAsia="de-DE"/>
              </w:rPr>
              <w:t>studies</w:t>
            </w:r>
            <w:proofErr w:type="spellEnd"/>
          </w:p>
        </w:tc>
        <w:tc>
          <w:tcPr>
            <w:tcW w:w="0" w:type="auto"/>
            <w:vAlign w:val="center"/>
            <w:hideMark/>
          </w:tcPr>
          <w:p w:rsidR="0047772E" w:rsidRPr="0047772E" w:rsidRDefault="0047772E" w:rsidP="0047772E">
            <w:pPr>
              <w:spacing w:after="0" w:line="360" w:lineRule="auto"/>
              <w:rPr>
                <w:rFonts w:eastAsia="Times New Roman" w:cstheme="minorHAnsi"/>
                <w:lang w:eastAsia="de-DE"/>
              </w:rPr>
            </w:pPr>
          </w:p>
        </w:tc>
        <w:tc>
          <w:tcPr>
            <w:tcW w:w="0" w:type="auto"/>
            <w:vAlign w:val="center"/>
            <w:hideMark/>
          </w:tcPr>
          <w:p w:rsidR="0047772E" w:rsidRPr="0047772E" w:rsidRDefault="0047772E" w:rsidP="0047772E">
            <w:pPr>
              <w:spacing w:after="0" w:line="360" w:lineRule="auto"/>
              <w:rPr>
                <w:rFonts w:eastAsia="Times New Roman" w:cstheme="minorHAnsi"/>
                <w:lang w:eastAsia="de-DE"/>
              </w:rPr>
            </w:pPr>
          </w:p>
        </w:tc>
      </w:tr>
      <w:tr w:rsidR="0047772E" w:rsidRPr="0047772E" w:rsidTr="0047772E">
        <w:tc>
          <w:tcPr>
            <w:tcW w:w="3045"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47772E" w:rsidP="0047772E">
            <w:pPr>
              <w:spacing w:after="0" w:line="360" w:lineRule="auto"/>
              <w:rPr>
                <w:rFonts w:eastAsia="Times New Roman" w:cstheme="minorHAnsi"/>
                <w:lang w:eastAsia="de-DE"/>
              </w:rPr>
            </w:pPr>
            <w:r w:rsidRPr="0047772E">
              <w:rPr>
                <w:rFonts w:eastAsia="Times New Roman" w:cstheme="minorHAnsi"/>
                <w:color w:val="000000"/>
                <w:lang w:eastAsia="de-DE"/>
              </w:rPr>
              <w:t xml:space="preserve">60.000,00 </w:t>
            </w:r>
          </w:p>
        </w:tc>
        <w:tc>
          <w:tcPr>
            <w:tcW w:w="6135"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47772E" w:rsidP="0047772E">
            <w:pPr>
              <w:spacing w:after="0" w:line="360" w:lineRule="auto"/>
              <w:rPr>
                <w:rFonts w:eastAsia="Times New Roman" w:cstheme="minorHAnsi"/>
                <w:color w:val="000000"/>
                <w:lang w:val="en-US" w:eastAsia="de-DE"/>
              </w:rPr>
            </w:pPr>
            <w:r w:rsidRPr="0047772E">
              <w:rPr>
                <w:rFonts w:eastAsia="Times New Roman" w:cstheme="minorHAnsi"/>
                <w:color w:val="000000"/>
                <w:lang w:val="en-US" w:eastAsia="de-DE"/>
              </w:rPr>
              <w:t>CO transfer posting:</w:t>
            </w:r>
          </w:p>
          <w:p w:rsidR="0047772E" w:rsidRPr="0047772E" w:rsidRDefault="0047772E" w:rsidP="0047772E">
            <w:pPr>
              <w:spacing w:after="0" w:line="360" w:lineRule="auto"/>
              <w:rPr>
                <w:rFonts w:eastAsia="Times New Roman" w:cstheme="minorHAnsi"/>
                <w:lang w:val="en-US" w:eastAsia="de-DE"/>
              </w:rPr>
            </w:pPr>
            <w:r w:rsidRPr="0047772E">
              <w:rPr>
                <w:rFonts w:eastAsia="Times New Roman" w:cstheme="minorHAnsi"/>
                <w:color w:val="000000"/>
                <w:lang w:val="en-US" w:eastAsia="de-DE"/>
              </w:rPr>
              <w:t>Money order to P2</w:t>
            </w:r>
          </w:p>
        </w:tc>
        <w:tc>
          <w:tcPr>
            <w:tcW w:w="0" w:type="auto"/>
            <w:vAlign w:val="center"/>
            <w:hideMark/>
          </w:tcPr>
          <w:p w:rsidR="0047772E" w:rsidRPr="0047772E" w:rsidRDefault="0047772E" w:rsidP="0047772E">
            <w:pPr>
              <w:spacing w:after="0" w:line="360" w:lineRule="auto"/>
              <w:rPr>
                <w:rFonts w:eastAsia="Times New Roman" w:cstheme="minorHAnsi"/>
                <w:lang w:val="en-US" w:eastAsia="de-DE"/>
              </w:rPr>
            </w:pPr>
          </w:p>
        </w:tc>
        <w:tc>
          <w:tcPr>
            <w:tcW w:w="0" w:type="auto"/>
            <w:vAlign w:val="center"/>
            <w:hideMark/>
          </w:tcPr>
          <w:p w:rsidR="0047772E" w:rsidRPr="0047772E" w:rsidRDefault="0047772E" w:rsidP="0047772E">
            <w:pPr>
              <w:spacing w:after="0" w:line="360" w:lineRule="auto"/>
              <w:rPr>
                <w:rFonts w:eastAsia="Times New Roman" w:cstheme="minorHAnsi"/>
                <w:lang w:val="en-US" w:eastAsia="de-DE"/>
              </w:rPr>
            </w:pPr>
          </w:p>
        </w:tc>
      </w:tr>
      <w:tr w:rsidR="0047772E" w:rsidRPr="0047772E" w:rsidTr="0047772E">
        <w:tc>
          <w:tcPr>
            <w:tcW w:w="3045"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47772E" w:rsidP="0047772E">
            <w:pPr>
              <w:spacing w:after="0" w:line="360" w:lineRule="auto"/>
              <w:rPr>
                <w:rFonts w:eastAsia="Times New Roman" w:cstheme="minorHAnsi"/>
                <w:lang w:eastAsia="de-DE"/>
              </w:rPr>
            </w:pPr>
            <w:r w:rsidRPr="0047772E">
              <w:rPr>
                <w:rFonts w:eastAsia="Times New Roman" w:cstheme="minorHAnsi"/>
                <w:color w:val="000000"/>
                <w:lang w:eastAsia="de-DE"/>
              </w:rPr>
              <w:t xml:space="preserve">40.000,00 </w:t>
            </w:r>
          </w:p>
        </w:tc>
        <w:tc>
          <w:tcPr>
            <w:tcW w:w="6135"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47772E" w:rsidP="0047772E">
            <w:pPr>
              <w:spacing w:after="0" w:line="360" w:lineRule="auto"/>
              <w:rPr>
                <w:rFonts w:eastAsia="Times New Roman" w:cstheme="minorHAnsi"/>
                <w:lang w:eastAsia="de-DE"/>
              </w:rPr>
            </w:pPr>
            <w:proofErr w:type="spellStart"/>
            <w:r>
              <w:rPr>
                <w:rFonts w:eastAsia="Times New Roman" w:cstheme="minorHAnsi"/>
                <w:color w:val="000000"/>
                <w:lang w:eastAsia="de-DE"/>
              </w:rPr>
              <w:t>Various</w:t>
            </w:r>
            <w:proofErr w:type="spellEnd"/>
            <w:r>
              <w:rPr>
                <w:rFonts w:eastAsia="Times New Roman" w:cstheme="minorHAnsi"/>
                <w:color w:val="000000"/>
                <w:lang w:eastAsia="de-DE"/>
              </w:rPr>
              <w:t xml:space="preserve"> </w:t>
            </w:r>
            <w:proofErr w:type="spellStart"/>
            <w:r>
              <w:rPr>
                <w:rFonts w:eastAsia="Times New Roman" w:cstheme="minorHAnsi"/>
                <w:color w:val="000000"/>
                <w:lang w:eastAsia="de-DE"/>
              </w:rPr>
              <w:t>expense</w:t>
            </w:r>
            <w:proofErr w:type="spellEnd"/>
            <w:r>
              <w:rPr>
                <w:rFonts w:eastAsia="Times New Roman" w:cstheme="minorHAnsi"/>
                <w:color w:val="000000"/>
                <w:lang w:eastAsia="de-DE"/>
              </w:rPr>
              <w:t xml:space="preserve"> </w:t>
            </w:r>
            <w:proofErr w:type="spellStart"/>
            <w:r>
              <w:rPr>
                <w:rFonts w:eastAsia="Times New Roman" w:cstheme="minorHAnsi"/>
                <w:color w:val="000000"/>
                <w:lang w:eastAsia="de-DE"/>
              </w:rPr>
              <w:t>postings</w:t>
            </w:r>
            <w:proofErr w:type="spellEnd"/>
          </w:p>
        </w:tc>
        <w:tc>
          <w:tcPr>
            <w:tcW w:w="0" w:type="auto"/>
            <w:vAlign w:val="center"/>
            <w:hideMark/>
          </w:tcPr>
          <w:p w:rsidR="0047772E" w:rsidRPr="0047772E" w:rsidRDefault="0047772E" w:rsidP="0047772E">
            <w:pPr>
              <w:spacing w:after="0" w:line="360" w:lineRule="auto"/>
              <w:rPr>
                <w:rFonts w:eastAsia="Times New Roman" w:cstheme="minorHAnsi"/>
                <w:lang w:eastAsia="de-DE"/>
              </w:rPr>
            </w:pPr>
          </w:p>
        </w:tc>
        <w:tc>
          <w:tcPr>
            <w:tcW w:w="0" w:type="auto"/>
            <w:vAlign w:val="center"/>
            <w:hideMark/>
          </w:tcPr>
          <w:p w:rsidR="0047772E" w:rsidRPr="0047772E" w:rsidRDefault="0047772E" w:rsidP="0047772E">
            <w:pPr>
              <w:spacing w:after="0" w:line="360" w:lineRule="auto"/>
              <w:rPr>
                <w:rFonts w:eastAsia="Times New Roman" w:cstheme="minorHAnsi"/>
                <w:lang w:eastAsia="de-DE"/>
              </w:rPr>
            </w:pPr>
          </w:p>
        </w:tc>
      </w:tr>
      <w:tr w:rsidR="0047772E" w:rsidRPr="0047772E" w:rsidTr="0047772E">
        <w:tc>
          <w:tcPr>
            <w:tcW w:w="3045"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47772E" w:rsidP="0047772E">
            <w:pPr>
              <w:spacing w:after="0" w:line="360" w:lineRule="auto"/>
              <w:rPr>
                <w:rFonts w:eastAsia="Times New Roman" w:cstheme="minorHAnsi"/>
                <w:lang w:eastAsia="de-DE"/>
              </w:rPr>
            </w:pPr>
            <w:r w:rsidRPr="0047772E">
              <w:rPr>
                <w:rFonts w:eastAsia="Times New Roman" w:cstheme="minorHAnsi"/>
                <w:b/>
                <w:bCs/>
                <w:color w:val="000000"/>
                <w:lang w:eastAsia="de-DE"/>
              </w:rPr>
              <w:t xml:space="preserve">100.000,00 </w:t>
            </w:r>
          </w:p>
        </w:tc>
        <w:tc>
          <w:tcPr>
            <w:tcW w:w="6135"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47772E" w:rsidP="0047772E">
            <w:pPr>
              <w:spacing w:after="0" w:line="360" w:lineRule="auto"/>
              <w:rPr>
                <w:rFonts w:eastAsia="Times New Roman" w:cstheme="minorHAnsi"/>
                <w:lang w:val="en-US" w:eastAsia="de-DE"/>
              </w:rPr>
            </w:pPr>
            <w:r w:rsidRPr="00926C31">
              <w:rPr>
                <w:rFonts w:eastAsia="Times New Roman" w:cstheme="minorHAnsi"/>
                <w:b/>
                <w:bCs/>
                <w:color w:val="000000"/>
                <w:lang w:val="en-US" w:eastAsia="de-DE"/>
              </w:rPr>
              <w:t xml:space="preserve">Balance of general and administrative expenses (*) </w:t>
            </w:r>
          </w:p>
        </w:tc>
        <w:tc>
          <w:tcPr>
            <w:tcW w:w="3180"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47772E" w:rsidP="0047772E">
            <w:pPr>
              <w:spacing w:after="0" w:line="360" w:lineRule="auto"/>
              <w:rPr>
                <w:rFonts w:eastAsia="Times New Roman" w:cstheme="minorHAnsi"/>
                <w:lang w:eastAsia="de-DE"/>
              </w:rPr>
            </w:pPr>
            <w:r w:rsidRPr="0047772E">
              <w:rPr>
                <w:rFonts w:eastAsia="Times New Roman" w:cstheme="minorHAnsi"/>
                <w:b/>
                <w:bCs/>
                <w:color w:val="000000"/>
                <w:lang w:eastAsia="de-DE"/>
              </w:rPr>
              <w:t xml:space="preserve">100.000,00 </w:t>
            </w:r>
          </w:p>
        </w:tc>
        <w:tc>
          <w:tcPr>
            <w:tcW w:w="6000"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926C31" w:rsidP="0047772E">
            <w:pPr>
              <w:spacing w:after="0" w:line="360" w:lineRule="auto"/>
              <w:rPr>
                <w:rFonts w:eastAsia="Times New Roman" w:cstheme="minorHAnsi"/>
                <w:lang w:eastAsia="de-DE"/>
              </w:rPr>
            </w:pPr>
            <w:r>
              <w:rPr>
                <w:rFonts w:eastAsia="Times New Roman" w:cstheme="minorHAnsi"/>
                <w:b/>
                <w:bCs/>
                <w:color w:val="000000"/>
                <w:lang w:eastAsia="de-DE"/>
              </w:rPr>
              <w:t>Balance Revenue</w:t>
            </w:r>
          </w:p>
        </w:tc>
      </w:tr>
    </w:tbl>
    <w:p w:rsidR="0047772E" w:rsidRPr="0047772E" w:rsidRDefault="0047772E" w:rsidP="0047772E">
      <w:pPr>
        <w:spacing w:before="240" w:after="240" w:line="360" w:lineRule="auto"/>
        <w:rPr>
          <w:rFonts w:eastAsia="Times New Roman" w:cstheme="minorHAnsi"/>
          <w:lang w:eastAsia="de-DE"/>
        </w:rPr>
      </w:pPr>
      <w:r w:rsidRPr="0047772E">
        <w:rPr>
          <w:rFonts w:eastAsia="Times New Roman" w:cstheme="minorHAnsi"/>
          <w:b/>
          <w:bCs/>
          <w:color w:val="000000"/>
          <w:lang w:eastAsia="de-DE"/>
        </w:rPr>
        <w:t>Projekt 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31"/>
        <w:gridCol w:w="2906"/>
        <w:gridCol w:w="1757"/>
        <w:gridCol w:w="2568"/>
      </w:tblGrid>
      <w:tr w:rsidR="0047772E" w:rsidRPr="0047772E" w:rsidTr="00926C31">
        <w:tc>
          <w:tcPr>
            <w:tcW w:w="1831"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926C31" w:rsidP="0047772E">
            <w:pPr>
              <w:spacing w:after="0" w:line="360" w:lineRule="auto"/>
              <w:rPr>
                <w:rFonts w:eastAsia="Times New Roman" w:cstheme="minorHAnsi"/>
                <w:lang w:eastAsia="de-DE"/>
              </w:rPr>
            </w:pPr>
            <w:proofErr w:type="spellStart"/>
            <w:r>
              <w:rPr>
                <w:rFonts w:eastAsia="Times New Roman" w:cstheme="minorHAnsi"/>
                <w:b/>
                <w:bCs/>
                <w:color w:val="000000"/>
                <w:lang w:eastAsia="de-DE"/>
              </w:rPr>
              <w:t>Amount</w:t>
            </w:r>
            <w:proofErr w:type="spellEnd"/>
            <w:r w:rsidR="0047772E" w:rsidRPr="0047772E">
              <w:rPr>
                <w:rFonts w:eastAsia="Times New Roman" w:cstheme="minorHAnsi"/>
                <w:b/>
                <w:bCs/>
                <w:color w:val="000000"/>
                <w:lang w:eastAsia="de-DE"/>
              </w:rPr>
              <w:t xml:space="preserve"> </w:t>
            </w:r>
          </w:p>
        </w:tc>
        <w:tc>
          <w:tcPr>
            <w:tcW w:w="2906"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926C31" w:rsidP="0047772E">
            <w:pPr>
              <w:spacing w:after="0" w:line="360" w:lineRule="auto"/>
              <w:rPr>
                <w:rFonts w:eastAsia="Times New Roman" w:cstheme="minorHAnsi"/>
                <w:lang w:eastAsia="de-DE"/>
              </w:rPr>
            </w:pPr>
            <w:proofErr w:type="spellStart"/>
            <w:r>
              <w:rPr>
                <w:rFonts w:eastAsia="Times New Roman" w:cstheme="minorHAnsi"/>
                <w:b/>
                <w:bCs/>
                <w:color w:val="000000"/>
                <w:lang w:eastAsia="de-DE"/>
              </w:rPr>
              <w:t>Effort</w:t>
            </w:r>
            <w:proofErr w:type="spellEnd"/>
          </w:p>
        </w:tc>
        <w:tc>
          <w:tcPr>
            <w:tcW w:w="1757"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926C31" w:rsidP="0047772E">
            <w:pPr>
              <w:spacing w:after="0" w:line="360" w:lineRule="auto"/>
              <w:rPr>
                <w:rFonts w:eastAsia="Times New Roman" w:cstheme="minorHAnsi"/>
                <w:lang w:eastAsia="de-DE"/>
              </w:rPr>
            </w:pPr>
            <w:proofErr w:type="spellStart"/>
            <w:r>
              <w:rPr>
                <w:rFonts w:eastAsia="Times New Roman" w:cstheme="minorHAnsi"/>
                <w:b/>
                <w:bCs/>
                <w:color w:val="000000"/>
                <w:lang w:eastAsia="de-DE"/>
              </w:rPr>
              <w:t>Amount</w:t>
            </w:r>
            <w:proofErr w:type="spellEnd"/>
          </w:p>
        </w:tc>
        <w:tc>
          <w:tcPr>
            <w:tcW w:w="2568"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926C31" w:rsidP="0047772E">
            <w:pPr>
              <w:spacing w:after="0" w:line="360" w:lineRule="auto"/>
              <w:rPr>
                <w:rFonts w:eastAsia="Times New Roman" w:cstheme="minorHAnsi"/>
                <w:lang w:eastAsia="de-DE"/>
              </w:rPr>
            </w:pPr>
            <w:r>
              <w:rPr>
                <w:rFonts w:eastAsia="Times New Roman" w:cstheme="minorHAnsi"/>
                <w:b/>
                <w:bCs/>
                <w:color w:val="000000"/>
                <w:lang w:eastAsia="de-DE"/>
              </w:rPr>
              <w:t>Revenue</w:t>
            </w:r>
          </w:p>
        </w:tc>
      </w:tr>
      <w:tr w:rsidR="0047772E" w:rsidRPr="0047772E" w:rsidTr="00926C31">
        <w:tc>
          <w:tcPr>
            <w:tcW w:w="1831"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47772E" w:rsidP="0047772E">
            <w:pPr>
              <w:spacing w:after="0" w:line="360" w:lineRule="auto"/>
              <w:rPr>
                <w:rFonts w:eastAsia="Times New Roman" w:cstheme="minorHAnsi"/>
                <w:lang w:eastAsia="de-DE"/>
              </w:rPr>
            </w:pPr>
            <w:r w:rsidRPr="0047772E">
              <w:rPr>
                <w:rFonts w:eastAsia="Times New Roman" w:cstheme="minorHAnsi"/>
                <w:color w:val="000000"/>
                <w:lang w:eastAsia="de-DE"/>
              </w:rPr>
              <w:t xml:space="preserve">50.000,00 </w:t>
            </w:r>
          </w:p>
        </w:tc>
        <w:tc>
          <w:tcPr>
            <w:tcW w:w="2906"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926C31" w:rsidP="0047772E">
            <w:pPr>
              <w:spacing w:after="0" w:line="360" w:lineRule="auto"/>
              <w:rPr>
                <w:rFonts w:eastAsia="Times New Roman" w:cstheme="minorHAnsi"/>
                <w:lang w:eastAsia="de-DE"/>
              </w:rPr>
            </w:pPr>
            <w:r>
              <w:rPr>
                <w:rFonts w:eastAsia="Times New Roman" w:cstheme="minorHAnsi"/>
                <w:color w:val="000000"/>
                <w:lang w:eastAsia="de-DE"/>
              </w:rPr>
              <w:t>Revenue</w:t>
            </w:r>
            <w:r w:rsidR="0047772E" w:rsidRPr="0047772E">
              <w:rPr>
                <w:rFonts w:eastAsia="Times New Roman" w:cstheme="minorHAnsi"/>
                <w:color w:val="000000"/>
                <w:lang w:eastAsia="de-DE"/>
              </w:rPr>
              <w:t xml:space="preserve"> Pfizer Austria</w:t>
            </w:r>
          </w:p>
        </w:tc>
        <w:tc>
          <w:tcPr>
            <w:tcW w:w="0" w:type="auto"/>
            <w:vAlign w:val="center"/>
            <w:hideMark/>
          </w:tcPr>
          <w:p w:rsidR="0047772E" w:rsidRPr="0047772E" w:rsidRDefault="0047772E" w:rsidP="0047772E">
            <w:pPr>
              <w:spacing w:after="0" w:line="360" w:lineRule="auto"/>
              <w:rPr>
                <w:rFonts w:eastAsia="Times New Roman" w:cstheme="minorHAnsi"/>
                <w:lang w:eastAsia="de-DE"/>
              </w:rPr>
            </w:pPr>
          </w:p>
        </w:tc>
        <w:tc>
          <w:tcPr>
            <w:tcW w:w="0" w:type="auto"/>
            <w:vAlign w:val="center"/>
            <w:hideMark/>
          </w:tcPr>
          <w:p w:rsidR="0047772E" w:rsidRPr="0047772E" w:rsidRDefault="0047772E" w:rsidP="0047772E">
            <w:pPr>
              <w:spacing w:after="0" w:line="360" w:lineRule="auto"/>
              <w:rPr>
                <w:rFonts w:eastAsia="Times New Roman" w:cstheme="minorHAnsi"/>
                <w:lang w:eastAsia="de-DE"/>
              </w:rPr>
            </w:pPr>
          </w:p>
        </w:tc>
      </w:tr>
      <w:tr w:rsidR="0047772E" w:rsidRPr="0047772E" w:rsidTr="00926C31">
        <w:tc>
          <w:tcPr>
            <w:tcW w:w="1831"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47772E" w:rsidP="0047772E">
            <w:pPr>
              <w:spacing w:after="0" w:line="360" w:lineRule="auto"/>
              <w:rPr>
                <w:rFonts w:eastAsia="Times New Roman" w:cstheme="minorHAnsi"/>
                <w:lang w:eastAsia="de-DE"/>
              </w:rPr>
            </w:pPr>
            <w:r w:rsidRPr="0047772E">
              <w:rPr>
                <w:rFonts w:eastAsia="Times New Roman" w:cstheme="minorHAnsi"/>
                <w:color w:val="000000"/>
                <w:lang w:eastAsia="de-DE"/>
              </w:rPr>
              <w:t xml:space="preserve">-60.000,00 </w:t>
            </w:r>
          </w:p>
        </w:tc>
        <w:tc>
          <w:tcPr>
            <w:tcW w:w="2906" w:type="dxa"/>
            <w:tcBorders>
              <w:top w:val="single" w:sz="4" w:space="0" w:color="auto"/>
              <w:left w:val="single" w:sz="4" w:space="0" w:color="auto"/>
              <w:bottom w:val="single" w:sz="4" w:space="0" w:color="auto"/>
              <w:right w:val="single" w:sz="4" w:space="0" w:color="auto"/>
            </w:tcBorders>
            <w:vAlign w:val="center"/>
            <w:hideMark/>
          </w:tcPr>
          <w:p w:rsidR="00926C31" w:rsidRPr="00926C31" w:rsidRDefault="00926C31" w:rsidP="00926C31">
            <w:pPr>
              <w:spacing w:after="0" w:line="360" w:lineRule="auto"/>
              <w:rPr>
                <w:rFonts w:eastAsia="Times New Roman" w:cstheme="minorHAnsi"/>
                <w:color w:val="000000"/>
                <w:lang w:val="en-US" w:eastAsia="de-DE"/>
              </w:rPr>
            </w:pPr>
            <w:r w:rsidRPr="00926C31">
              <w:rPr>
                <w:rFonts w:eastAsia="Times New Roman" w:cstheme="minorHAnsi"/>
                <w:color w:val="000000"/>
                <w:lang w:val="en-US" w:eastAsia="de-DE"/>
              </w:rPr>
              <w:t>CO Reposting:</w:t>
            </w:r>
          </w:p>
          <w:p w:rsidR="0047772E" w:rsidRPr="0047772E" w:rsidRDefault="00926C31" w:rsidP="00926C31">
            <w:pPr>
              <w:spacing w:after="0" w:line="360" w:lineRule="auto"/>
              <w:rPr>
                <w:rFonts w:eastAsia="Times New Roman" w:cstheme="minorHAnsi"/>
                <w:lang w:val="en-US" w:eastAsia="de-DE"/>
              </w:rPr>
            </w:pPr>
            <w:r w:rsidRPr="00926C31">
              <w:rPr>
                <w:rFonts w:eastAsia="Times New Roman" w:cstheme="minorHAnsi"/>
                <w:color w:val="000000"/>
                <w:lang w:val="en-US" w:eastAsia="de-DE"/>
              </w:rPr>
              <w:t>Budget increase by P1</w:t>
            </w:r>
          </w:p>
        </w:tc>
        <w:tc>
          <w:tcPr>
            <w:tcW w:w="0" w:type="auto"/>
            <w:vAlign w:val="center"/>
            <w:hideMark/>
          </w:tcPr>
          <w:p w:rsidR="0047772E" w:rsidRPr="0047772E" w:rsidRDefault="0047772E" w:rsidP="0047772E">
            <w:pPr>
              <w:spacing w:after="0" w:line="360" w:lineRule="auto"/>
              <w:rPr>
                <w:rFonts w:eastAsia="Times New Roman" w:cstheme="minorHAnsi"/>
                <w:lang w:val="en-US" w:eastAsia="de-DE"/>
              </w:rPr>
            </w:pPr>
          </w:p>
        </w:tc>
        <w:tc>
          <w:tcPr>
            <w:tcW w:w="0" w:type="auto"/>
            <w:vAlign w:val="center"/>
            <w:hideMark/>
          </w:tcPr>
          <w:p w:rsidR="0047772E" w:rsidRPr="0047772E" w:rsidRDefault="0047772E" w:rsidP="0047772E">
            <w:pPr>
              <w:spacing w:after="0" w:line="360" w:lineRule="auto"/>
              <w:rPr>
                <w:rFonts w:eastAsia="Times New Roman" w:cstheme="minorHAnsi"/>
                <w:lang w:val="en-US" w:eastAsia="de-DE"/>
              </w:rPr>
            </w:pPr>
          </w:p>
        </w:tc>
      </w:tr>
      <w:tr w:rsidR="0047772E" w:rsidRPr="0047772E" w:rsidTr="00926C31">
        <w:tc>
          <w:tcPr>
            <w:tcW w:w="1831"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47772E" w:rsidP="0047772E">
            <w:pPr>
              <w:spacing w:after="0" w:line="360" w:lineRule="auto"/>
              <w:rPr>
                <w:rFonts w:eastAsia="Times New Roman" w:cstheme="minorHAnsi"/>
                <w:lang w:eastAsia="de-DE"/>
              </w:rPr>
            </w:pPr>
            <w:r w:rsidRPr="0047772E">
              <w:rPr>
                <w:rFonts w:eastAsia="Times New Roman" w:cstheme="minorHAnsi"/>
                <w:color w:val="000000"/>
                <w:lang w:eastAsia="de-DE"/>
              </w:rPr>
              <w:t xml:space="preserve">110.000,00 </w:t>
            </w:r>
          </w:p>
        </w:tc>
        <w:tc>
          <w:tcPr>
            <w:tcW w:w="2906"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926C31" w:rsidP="0047772E">
            <w:pPr>
              <w:spacing w:after="0" w:line="360" w:lineRule="auto"/>
              <w:rPr>
                <w:rFonts w:eastAsia="Times New Roman" w:cstheme="minorHAnsi"/>
                <w:lang w:eastAsia="de-DE"/>
              </w:rPr>
            </w:pPr>
            <w:proofErr w:type="spellStart"/>
            <w:r>
              <w:rPr>
                <w:rFonts w:eastAsia="Times New Roman" w:cstheme="minorHAnsi"/>
                <w:color w:val="000000"/>
                <w:lang w:eastAsia="de-DE"/>
              </w:rPr>
              <w:t>Various</w:t>
            </w:r>
            <w:proofErr w:type="spellEnd"/>
            <w:r>
              <w:rPr>
                <w:rFonts w:eastAsia="Times New Roman" w:cstheme="minorHAnsi"/>
                <w:color w:val="000000"/>
                <w:lang w:eastAsia="de-DE"/>
              </w:rPr>
              <w:t xml:space="preserve"> </w:t>
            </w:r>
            <w:proofErr w:type="spellStart"/>
            <w:r>
              <w:rPr>
                <w:rFonts w:eastAsia="Times New Roman" w:cstheme="minorHAnsi"/>
                <w:color w:val="000000"/>
                <w:lang w:eastAsia="de-DE"/>
              </w:rPr>
              <w:t>expense</w:t>
            </w:r>
            <w:proofErr w:type="spellEnd"/>
            <w:r>
              <w:rPr>
                <w:rFonts w:eastAsia="Times New Roman" w:cstheme="minorHAnsi"/>
                <w:color w:val="000000"/>
                <w:lang w:eastAsia="de-DE"/>
              </w:rPr>
              <w:t xml:space="preserve"> </w:t>
            </w:r>
            <w:proofErr w:type="spellStart"/>
            <w:r>
              <w:rPr>
                <w:rFonts w:eastAsia="Times New Roman" w:cstheme="minorHAnsi"/>
                <w:color w:val="000000"/>
                <w:lang w:eastAsia="de-DE"/>
              </w:rPr>
              <w:t>postings</w:t>
            </w:r>
            <w:proofErr w:type="spellEnd"/>
          </w:p>
        </w:tc>
        <w:tc>
          <w:tcPr>
            <w:tcW w:w="0" w:type="auto"/>
            <w:vAlign w:val="center"/>
            <w:hideMark/>
          </w:tcPr>
          <w:p w:rsidR="0047772E" w:rsidRPr="0047772E" w:rsidRDefault="0047772E" w:rsidP="0047772E">
            <w:pPr>
              <w:spacing w:after="0" w:line="360" w:lineRule="auto"/>
              <w:rPr>
                <w:rFonts w:eastAsia="Times New Roman" w:cstheme="minorHAnsi"/>
                <w:lang w:eastAsia="de-DE"/>
              </w:rPr>
            </w:pPr>
          </w:p>
        </w:tc>
        <w:tc>
          <w:tcPr>
            <w:tcW w:w="0" w:type="auto"/>
            <w:vAlign w:val="center"/>
            <w:hideMark/>
          </w:tcPr>
          <w:p w:rsidR="0047772E" w:rsidRPr="0047772E" w:rsidRDefault="0047772E" w:rsidP="0047772E">
            <w:pPr>
              <w:spacing w:after="0" w:line="360" w:lineRule="auto"/>
              <w:rPr>
                <w:rFonts w:eastAsia="Times New Roman" w:cstheme="minorHAnsi"/>
                <w:lang w:eastAsia="de-DE"/>
              </w:rPr>
            </w:pPr>
          </w:p>
        </w:tc>
      </w:tr>
      <w:tr w:rsidR="00926C31" w:rsidRPr="0047772E" w:rsidTr="00926C31">
        <w:tc>
          <w:tcPr>
            <w:tcW w:w="1831" w:type="dxa"/>
            <w:tcBorders>
              <w:top w:val="single" w:sz="4" w:space="0" w:color="auto"/>
              <w:left w:val="single" w:sz="4" w:space="0" w:color="auto"/>
              <w:bottom w:val="single" w:sz="4" w:space="0" w:color="auto"/>
              <w:right w:val="single" w:sz="4" w:space="0" w:color="auto"/>
            </w:tcBorders>
            <w:vAlign w:val="center"/>
            <w:hideMark/>
          </w:tcPr>
          <w:p w:rsidR="00926C31" w:rsidRPr="0047772E" w:rsidRDefault="00926C31" w:rsidP="00926C31">
            <w:pPr>
              <w:spacing w:after="0" w:line="360" w:lineRule="auto"/>
              <w:rPr>
                <w:rFonts w:eastAsia="Times New Roman" w:cstheme="minorHAnsi"/>
                <w:lang w:eastAsia="de-DE"/>
              </w:rPr>
            </w:pPr>
            <w:r w:rsidRPr="0047772E">
              <w:rPr>
                <w:rFonts w:eastAsia="Times New Roman" w:cstheme="minorHAnsi"/>
                <w:b/>
                <w:bCs/>
                <w:color w:val="000000"/>
                <w:lang w:eastAsia="de-DE"/>
              </w:rPr>
              <w:t xml:space="preserve">50.000,00 </w:t>
            </w:r>
          </w:p>
        </w:tc>
        <w:tc>
          <w:tcPr>
            <w:tcW w:w="2906" w:type="dxa"/>
            <w:tcBorders>
              <w:top w:val="single" w:sz="4" w:space="0" w:color="auto"/>
              <w:left w:val="single" w:sz="4" w:space="0" w:color="auto"/>
              <w:bottom w:val="single" w:sz="4" w:space="0" w:color="auto"/>
              <w:right w:val="single" w:sz="4" w:space="0" w:color="auto"/>
            </w:tcBorders>
            <w:vAlign w:val="center"/>
            <w:hideMark/>
          </w:tcPr>
          <w:p w:rsidR="00926C31" w:rsidRPr="0047772E" w:rsidRDefault="00926C31" w:rsidP="00926C31">
            <w:pPr>
              <w:spacing w:after="0" w:line="360" w:lineRule="auto"/>
              <w:rPr>
                <w:rFonts w:eastAsia="Times New Roman" w:cstheme="minorHAnsi"/>
                <w:lang w:val="en-US" w:eastAsia="de-DE"/>
              </w:rPr>
            </w:pPr>
            <w:r w:rsidRPr="00926C31">
              <w:rPr>
                <w:rFonts w:eastAsia="Times New Roman" w:cstheme="minorHAnsi"/>
                <w:b/>
                <w:bCs/>
                <w:color w:val="000000"/>
                <w:lang w:val="en-US" w:eastAsia="de-DE"/>
              </w:rPr>
              <w:t xml:space="preserve">Balance of general and administrative expenses (*) </w:t>
            </w:r>
          </w:p>
        </w:tc>
        <w:tc>
          <w:tcPr>
            <w:tcW w:w="1757" w:type="dxa"/>
            <w:tcBorders>
              <w:top w:val="single" w:sz="4" w:space="0" w:color="auto"/>
              <w:left w:val="single" w:sz="4" w:space="0" w:color="auto"/>
              <w:bottom w:val="single" w:sz="4" w:space="0" w:color="auto"/>
              <w:right w:val="single" w:sz="4" w:space="0" w:color="auto"/>
            </w:tcBorders>
            <w:vAlign w:val="center"/>
            <w:hideMark/>
          </w:tcPr>
          <w:p w:rsidR="00926C31" w:rsidRPr="0047772E" w:rsidRDefault="00926C31" w:rsidP="00926C31">
            <w:pPr>
              <w:spacing w:after="0" w:line="360" w:lineRule="auto"/>
              <w:rPr>
                <w:rFonts w:eastAsia="Times New Roman" w:cstheme="minorHAnsi"/>
                <w:lang w:eastAsia="de-DE"/>
              </w:rPr>
            </w:pPr>
            <w:r w:rsidRPr="0047772E">
              <w:rPr>
                <w:rFonts w:eastAsia="Times New Roman" w:cstheme="minorHAnsi"/>
                <w:b/>
                <w:bCs/>
                <w:color w:val="000000"/>
                <w:lang w:eastAsia="de-DE"/>
              </w:rPr>
              <w:t xml:space="preserve">50.000,00 </w:t>
            </w:r>
          </w:p>
        </w:tc>
        <w:tc>
          <w:tcPr>
            <w:tcW w:w="2568" w:type="dxa"/>
            <w:tcBorders>
              <w:top w:val="single" w:sz="4" w:space="0" w:color="auto"/>
              <w:left w:val="single" w:sz="4" w:space="0" w:color="auto"/>
              <w:bottom w:val="single" w:sz="4" w:space="0" w:color="auto"/>
              <w:right w:val="single" w:sz="4" w:space="0" w:color="auto"/>
            </w:tcBorders>
            <w:vAlign w:val="center"/>
            <w:hideMark/>
          </w:tcPr>
          <w:p w:rsidR="00926C31" w:rsidRPr="0047772E" w:rsidRDefault="00926C31" w:rsidP="00926C31">
            <w:pPr>
              <w:spacing w:after="0" w:line="360" w:lineRule="auto"/>
              <w:rPr>
                <w:rFonts w:eastAsia="Times New Roman" w:cstheme="minorHAnsi"/>
                <w:lang w:eastAsia="de-DE"/>
              </w:rPr>
            </w:pPr>
            <w:r w:rsidRPr="0047772E">
              <w:rPr>
                <w:rFonts w:eastAsia="Times New Roman" w:cstheme="minorHAnsi"/>
                <w:b/>
                <w:bCs/>
                <w:color w:val="000000"/>
                <w:lang w:eastAsia="de-DE"/>
              </w:rPr>
              <w:t>Saldo Erlöse</w:t>
            </w:r>
          </w:p>
        </w:tc>
      </w:tr>
    </w:tbl>
    <w:p w:rsidR="0047772E" w:rsidRPr="00926C31" w:rsidRDefault="0047772E" w:rsidP="0047772E">
      <w:pPr>
        <w:spacing w:after="0" w:line="360" w:lineRule="auto"/>
        <w:rPr>
          <w:rFonts w:eastAsia="Times New Roman" w:cstheme="minorHAnsi"/>
          <w:i/>
          <w:iCs/>
          <w:color w:val="000000"/>
          <w:lang w:val="en-US" w:eastAsia="de-DE"/>
        </w:rPr>
      </w:pPr>
      <w:r w:rsidRPr="00926C31">
        <w:rPr>
          <w:rFonts w:eastAsia="Times New Roman" w:cstheme="minorHAnsi"/>
          <w:color w:val="000000"/>
          <w:lang w:val="en-US" w:eastAsia="de-DE"/>
        </w:rPr>
        <w:t xml:space="preserve">(*) </w:t>
      </w:r>
      <w:r w:rsidR="00926C31">
        <w:rPr>
          <w:rFonts w:eastAsia="Times New Roman" w:cstheme="minorHAnsi"/>
          <w:i/>
          <w:iCs/>
          <w:color w:val="000000"/>
          <w:lang w:val="en-US" w:eastAsia="de-DE"/>
        </w:rPr>
        <w:t>T</w:t>
      </w:r>
      <w:r w:rsidR="00926C31" w:rsidRPr="00926C31">
        <w:rPr>
          <w:rFonts w:eastAsia="Times New Roman" w:cstheme="minorHAnsi"/>
          <w:i/>
          <w:iCs/>
          <w:color w:val="000000"/>
          <w:lang w:val="en-US" w:eastAsia="de-DE"/>
        </w:rPr>
        <w:t>his sum is shown in SAP as the sum of general and administrative expenses</w:t>
      </w:r>
      <w:r w:rsidR="00926C31">
        <w:rPr>
          <w:rFonts w:eastAsia="Times New Roman" w:cstheme="minorHAnsi"/>
          <w:i/>
          <w:iCs/>
          <w:color w:val="000000"/>
          <w:lang w:val="en-US" w:eastAsia="de-DE"/>
        </w:rPr>
        <w:t>.</w:t>
      </w:r>
    </w:p>
    <w:p w:rsidR="0047772E" w:rsidRPr="00926C31" w:rsidRDefault="00926C31" w:rsidP="0047772E">
      <w:pPr>
        <w:spacing w:before="240" w:after="240" w:line="360" w:lineRule="auto"/>
        <w:rPr>
          <w:rFonts w:eastAsia="Times New Roman" w:cstheme="minorHAnsi"/>
          <w:color w:val="000000"/>
          <w:lang w:val="en-US" w:eastAsia="de-DE"/>
        </w:rPr>
      </w:pPr>
      <w:r w:rsidRPr="00926C31">
        <w:rPr>
          <w:rFonts w:eastAsia="Times New Roman" w:cstheme="minorHAnsi"/>
          <w:color w:val="000000"/>
          <w:lang w:val="en-US" w:eastAsia="de-DE"/>
        </w:rPr>
        <w:t>Calculation</w:t>
      </w:r>
      <w:r w:rsidR="0047772E" w:rsidRPr="00926C31">
        <w:rPr>
          <w:rFonts w:eastAsia="Times New Roman" w:cstheme="minorHAnsi"/>
          <w:color w:val="000000"/>
          <w:lang w:val="en-US" w:eastAsia="de-DE"/>
        </w:rPr>
        <w:t>:</w:t>
      </w:r>
    </w:p>
    <w:p w:rsidR="00926C31" w:rsidRPr="00926C31" w:rsidRDefault="00926C31" w:rsidP="00926C31">
      <w:pPr>
        <w:spacing w:before="240" w:after="240" w:line="360" w:lineRule="auto"/>
        <w:rPr>
          <w:rFonts w:eastAsia="Times New Roman" w:cstheme="minorHAnsi"/>
          <w:i/>
          <w:iCs/>
          <w:color w:val="000000"/>
          <w:lang w:val="en-US" w:eastAsia="de-DE"/>
        </w:rPr>
      </w:pPr>
      <w:r w:rsidRPr="00926C31">
        <w:rPr>
          <w:rFonts w:eastAsia="Times New Roman" w:cstheme="minorHAnsi"/>
          <w:i/>
          <w:iCs/>
          <w:color w:val="000000"/>
          <w:lang w:val="en-US" w:eastAsia="de-DE"/>
        </w:rPr>
        <w:t>To determine the expenditures for LOM as well as the R&amp;D survey of Statistics Austria, the budget balancing initiated by CO transfer postings is eliminated from the SAP balances as follows:</w:t>
      </w:r>
    </w:p>
    <w:p w:rsidR="00926C31" w:rsidRPr="00926C31" w:rsidRDefault="00926C31" w:rsidP="00926C31">
      <w:pPr>
        <w:spacing w:before="240" w:after="240" w:line="360" w:lineRule="auto"/>
        <w:rPr>
          <w:rFonts w:eastAsia="Times New Roman" w:cstheme="minorHAnsi"/>
          <w:i/>
          <w:iCs/>
          <w:color w:val="000000"/>
          <w:lang w:val="en-US" w:eastAsia="de-DE"/>
        </w:rPr>
      </w:pPr>
      <w:r w:rsidRPr="00926C31">
        <w:rPr>
          <w:rFonts w:eastAsia="Times New Roman" w:cstheme="minorHAnsi"/>
          <w:i/>
          <w:iCs/>
          <w:color w:val="000000"/>
          <w:lang w:val="en-US" w:eastAsia="de-DE"/>
        </w:rPr>
        <w:t>(balance of non-personnel expenses) - (CO transfer postings of the type "budget balancing").</w:t>
      </w:r>
    </w:p>
    <w:p w:rsidR="0047772E" w:rsidRPr="0047772E" w:rsidRDefault="00926C31" w:rsidP="00926C31">
      <w:pPr>
        <w:spacing w:before="240" w:after="240" w:line="360" w:lineRule="auto"/>
        <w:rPr>
          <w:rFonts w:eastAsia="Times New Roman" w:cstheme="minorHAnsi"/>
          <w:lang w:val="en-US" w:eastAsia="de-DE"/>
        </w:rPr>
      </w:pPr>
      <w:r w:rsidRPr="00926C31">
        <w:rPr>
          <w:rFonts w:eastAsia="Times New Roman" w:cstheme="minorHAnsi"/>
          <w:i/>
          <w:iCs/>
          <w:color w:val="000000"/>
          <w:lang w:val="en-US" w:eastAsia="de-DE"/>
        </w:rPr>
        <w:t>For LOM third-party funds and R&amp;D survey, this results in expenses for the projects in the amount of: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05"/>
        <w:gridCol w:w="6090"/>
        <w:gridCol w:w="2535"/>
      </w:tblGrid>
      <w:tr w:rsidR="0047772E" w:rsidRPr="0047772E" w:rsidTr="0047772E">
        <w:tc>
          <w:tcPr>
            <w:tcW w:w="1005"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47772E" w:rsidP="0047772E">
            <w:pPr>
              <w:spacing w:after="0" w:line="360" w:lineRule="auto"/>
              <w:rPr>
                <w:rFonts w:eastAsia="Times New Roman" w:cstheme="minorHAnsi"/>
                <w:lang w:eastAsia="de-DE"/>
              </w:rPr>
            </w:pPr>
            <w:r w:rsidRPr="0047772E">
              <w:rPr>
                <w:rFonts w:eastAsia="Times New Roman" w:cstheme="minorHAnsi"/>
                <w:color w:val="000000"/>
                <w:lang w:eastAsia="de-DE"/>
              </w:rPr>
              <w:lastRenderedPageBreak/>
              <w:t xml:space="preserve">P1: </w:t>
            </w:r>
            <w:r w:rsidRPr="0047772E">
              <w:rPr>
                <w:rFonts w:eastAsia="Times New Roman" w:cstheme="minorHAnsi"/>
                <w:color w:val="000000"/>
                <w:lang w:eastAsia="de-DE"/>
              </w:rPr>
              <w:br/>
              <w:t xml:space="preserve">P2: </w:t>
            </w:r>
          </w:p>
        </w:tc>
        <w:tc>
          <w:tcPr>
            <w:tcW w:w="6090"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47772E" w:rsidP="0047772E">
            <w:pPr>
              <w:spacing w:after="0" w:line="360" w:lineRule="auto"/>
              <w:rPr>
                <w:rFonts w:eastAsia="Times New Roman" w:cstheme="minorHAnsi"/>
                <w:lang w:eastAsia="de-DE"/>
              </w:rPr>
            </w:pPr>
            <w:r w:rsidRPr="0047772E">
              <w:rPr>
                <w:rFonts w:eastAsia="Times New Roman" w:cstheme="minorHAnsi"/>
                <w:color w:val="000000"/>
                <w:lang w:eastAsia="de-DE"/>
              </w:rPr>
              <w:t xml:space="preserve">100.000,00 – 60.000,00 = </w:t>
            </w:r>
            <w:r w:rsidRPr="0047772E">
              <w:rPr>
                <w:rFonts w:eastAsia="Times New Roman" w:cstheme="minorHAnsi"/>
                <w:color w:val="000000"/>
                <w:lang w:eastAsia="de-DE"/>
              </w:rPr>
              <w:br/>
              <w:t xml:space="preserve">50.000,00 – (–60.000,00) = </w:t>
            </w:r>
          </w:p>
        </w:tc>
        <w:tc>
          <w:tcPr>
            <w:tcW w:w="2535" w:type="dxa"/>
            <w:tcBorders>
              <w:top w:val="single" w:sz="4" w:space="0" w:color="auto"/>
              <w:left w:val="single" w:sz="4" w:space="0" w:color="auto"/>
              <w:bottom w:val="single" w:sz="4" w:space="0" w:color="auto"/>
              <w:right w:val="single" w:sz="4" w:space="0" w:color="auto"/>
            </w:tcBorders>
            <w:vAlign w:val="center"/>
            <w:hideMark/>
          </w:tcPr>
          <w:p w:rsidR="0047772E" w:rsidRPr="0047772E" w:rsidRDefault="0047772E" w:rsidP="0047772E">
            <w:pPr>
              <w:spacing w:after="0" w:line="360" w:lineRule="auto"/>
              <w:rPr>
                <w:rFonts w:eastAsia="Times New Roman" w:cstheme="minorHAnsi"/>
                <w:lang w:eastAsia="de-DE"/>
              </w:rPr>
            </w:pPr>
            <w:r w:rsidRPr="0047772E">
              <w:rPr>
                <w:rFonts w:eastAsia="Times New Roman" w:cstheme="minorHAnsi"/>
                <w:color w:val="000000"/>
                <w:lang w:eastAsia="de-DE"/>
              </w:rPr>
              <w:t>40.000,00</w:t>
            </w:r>
            <w:r w:rsidRPr="0047772E">
              <w:rPr>
                <w:rFonts w:eastAsia="Times New Roman" w:cstheme="minorHAnsi"/>
                <w:color w:val="000000"/>
                <w:lang w:eastAsia="de-DE"/>
              </w:rPr>
              <w:br/>
              <w:t>110.000,00</w:t>
            </w:r>
          </w:p>
        </w:tc>
      </w:tr>
    </w:tbl>
    <w:p w:rsidR="0047772E" w:rsidRPr="0047772E" w:rsidRDefault="00926C31" w:rsidP="0047772E">
      <w:pPr>
        <w:spacing w:before="240" w:line="360" w:lineRule="auto"/>
        <w:jc w:val="both"/>
        <w:rPr>
          <w:rFonts w:eastAsia="Times New Roman" w:cstheme="minorHAnsi"/>
          <w:color w:val="000000"/>
          <w:lang w:eastAsia="de-DE"/>
        </w:rPr>
      </w:pPr>
      <w:proofErr w:type="spellStart"/>
      <w:r>
        <w:rPr>
          <w:rFonts w:eastAsia="Times New Roman" w:cstheme="minorHAnsi"/>
          <w:color w:val="000000"/>
          <w:lang w:eastAsia="de-DE"/>
        </w:rPr>
        <w:t>Justification</w:t>
      </w:r>
      <w:proofErr w:type="spellEnd"/>
      <w:r w:rsidR="0047772E" w:rsidRPr="0047772E">
        <w:rPr>
          <w:rFonts w:eastAsia="Times New Roman" w:cstheme="minorHAnsi"/>
          <w:color w:val="000000"/>
          <w:lang w:eastAsia="de-DE"/>
        </w:rPr>
        <w:t>:</w:t>
      </w:r>
    </w:p>
    <w:p w:rsidR="00B604AB" w:rsidRDefault="00926C31" w:rsidP="0047772E">
      <w:pPr>
        <w:spacing w:line="360" w:lineRule="auto"/>
        <w:jc w:val="both"/>
        <w:rPr>
          <w:rFonts w:eastAsia="Times New Roman" w:cstheme="minorHAnsi"/>
          <w:color w:val="000000"/>
          <w:lang w:val="en-US" w:eastAsia="de-DE"/>
        </w:rPr>
      </w:pPr>
      <w:r w:rsidRPr="00926C31">
        <w:rPr>
          <w:rFonts w:eastAsia="Times New Roman" w:cstheme="minorHAnsi"/>
          <w:color w:val="000000"/>
          <w:lang w:val="en-US" w:eastAsia="de-DE"/>
        </w:rPr>
        <w:t xml:space="preserve">Without back-calculation of the CO transfers, P1 would show expenditures in the amount of </w:t>
      </w:r>
      <w:r>
        <w:rPr>
          <w:rFonts w:eastAsia="Times New Roman" w:cstheme="minorHAnsi"/>
          <w:color w:val="000000"/>
          <w:lang w:val="en-US" w:eastAsia="de-DE"/>
        </w:rPr>
        <w:t xml:space="preserve">€ </w:t>
      </w:r>
      <w:r w:rsidRPr="00926C31">
        <w:rPr>
          <w:rFonts w:eastAsia="Times New Roman" w:cstheme="minorHAnsi"/>
          <w:color w:val="000000"/>
          <w:lang w:val="en-US" w:eastAsia="de-DE"/>
        </w:rPr>
        <w:t xml:space="preserve">100,000.00, whereas P2 would only show expenditures in the amount of </w:t>
      </w:r>
      <w:r>
        <w:rPr>
          <w:rFonts w:eastAsia="Times New Roman" w:cstheme="minorHAnsi"/>
          <w:color w:val="000000"/>
          <w:lang w:val="en-US" w:eastAsia="de-DE"/>
        </w:rPr>
        <w:t xml:space="preserve">€ </w:t>
      </w:r>
      <w:r w:rsidRPr="00926C31">
        <w:rPr>
          <w:rFonts w:eastAsia="Times New Roman" w:cstheme="minorHAnsi"/>
          <w:color w:val="000000"/>
          <w:lang w:val="en-US" w:eastAsia="de-DE"/>
        </w:rPr>
        <w:t xml:space="preserve">50,000.00. The budget balancing cannot be interpreted as activity allocation, since no activity exists. The cost truth at the project level is only given if the non-personnel expenditure in the amount of </w:t>
      </w:r>
      <w:r>
        <w:rPr>
          <w:rFonts w:eastAsia="Times New Roman" w:cstheme="minorHAnsi"/>
          <w:color w:val="000000"/>
          <w:lang w:val="en-US" w:eastAsia="de-DE"/>
        </w:rPr>
        <w:t xml:space="preserve">€ </w:t>
      </w:r>
      <w:r w:rsidRPr="00926C31">
        <w:rPr>
          <w:rFonts w:eastAsia="Times New Roman" w:cstheme="minorHAnsi"/>
          <w:color w:val="000000"/>
          <w:lang w:val="en-US" w:eastAsia="de-DE"/>
        </w:rPr>
        <w:t xml:space="preserve">60,000.00 is attributed to project 2. After all, P2's expenditures were made for P2's purposes. (In principle, budget balancing should therefore be limited to the transfer from </w:t>
      </w:r>
      <w:proofErr w:type="spellStart"/>
      <w:r w:rsidRPr="00926C31">
        <w:rPr>
          <w:rFonts w:eastAsia="Times New Roman" w:cstheme="minorHAnsi"/>
          <w:color w:val="000000"/>
          <w:highlight w:val="yellow"/>
          <w:lang w:val="en-US" w:eastAsia="de-DE"/>
        </w:rPr>
        <w:t>Überlingen</w:t>
      </w:r>
      <w:proofErr w:type="spellEnd"/>
      <w:r w:rsidRPr="00926C31">
        <w:rPr>
          <w:rFonts w:eastAsia="Times New Roman" w:cstheme="minorHAnsi"/>
          <w:color w:val="000000"/>
          <w:lang w:val="en-US" w:eastAsia="de-DE"/>
        </w:rPr>
        <w:t>).</w:t>
      </w:r>
    </w:p>
    <w:p w:rsidR="007B65BE" w:rsidRPr="007B65BE" w:rsidRDefault="007B65BE" w:rsidP="007B65BE">
      <w:pPr>
        <w:spacing w:after="0" w:line="360" w:lineRule="auto"/>
        <w:jc w:val="both"/>
        <w:rPr>
          <w:rFonts w:eastAsia="Times New Roman" w:cstheme="minorHAnsi"/>
          <w:b/>
          <w:bCs/>
          <w:i/>
          <w:iCs/>
          <w:color w:val="000000"/>
          <w:lang w:val="en-US" w:eastAsia="de-DE"/>
        </w:rPr>
      </w:pPr>
      <w:r w:rsidRPr="007B65BE">
        <w:rPr>
          <w:rFonts w:eastAsia="Times New Roman" w:cstheme="minorHAnsi"/>
          <w:b/>
          <w:bCs/>
          <w:i/>
          <w:iCs/>
          <w:color w:val="000000"/>
          <w:lang w:val="en-US" w:eastAsia="de-DE"/>
        </w:rPr>
        <w:t>Ad 2) "real" activity allocation</w:t>
      </w:r>
    </w:p>
    <w:p w:rsidR="007B65BE" w:rsidRPr="007B65BE" w:rsidRDefault="007B65BE" w:rsidP="007B65BE">
      <w:pPr>
        <w:spacing w:after="0" w:line="360" w:lineRule="auto"/>
        <w:jc w:val="both"/>
        <w:rPr>
          <w:rFonts w:eastAsia="Times New Roman" w:cstheme="minorHAnsi"/>
          <w:bCs/>
          <w:i/>
          <w:iCs/>
          <w:color w:val="000000"/>
          <w:lang w:val="en-US" w:eastAsia="de-DE"/>
        </w:rPr>
      </w:pPr>
      <w:r w:rsidRPr="007B65BE">
        <w:rPr>
          <w:rFonts w:eastAsia="Times New Roman" w:cstheme="minorHAnsi"/>
          <w:bCs/>
          <w:i/>
          <w:iCs/>
          <w:color w:val="000000"/>
          <w:lang w:val="en-US" w:eastAsia="de-DE"/>
        </w:rPr>
        <w:t>Project 3 (P3) charges a performed service (e.g. sequencing) to project 4 (P4)</w:t>
      </w:r>
      <w:r>
        <w:rPr>
          <w:rFonts w:eastAsia="Times New Roman" w:cstheme="minorHAnsi"/>
          <w:bCs/>
          <w:i/>
          <w:iCs/>
          <w:color w:val="000000"/>
          <w:lang w:val="en-US" w:eastAsia="de-DE"/>
        </w:rPr>
        <w:t>.</w:t>
      </w:r>
    </w:p>
    <w:p w:rsidR="00D51EAD" w:rsidRPr="00D51EAD" w:rsidRDefault="007B65BE" w:rsidP="007B65BE">
      <w:pPr>
        <w:spacing w:after="0" w:line="360" w:lineRule="auto"/>
        <w:jc w:val="both"/>
        <w:rPr>
          <w:rFonts w:eastAsia="Times New Roman" w:cstheme="minorHAnsi"/>
          <w:lang w:eastAsia="de-DE"/>
        </w:rPr>
      </w:pPr>
      <w:r w:rsidRPr="007B65BE">
        <w:rPr>
          <w:rFonts w:eastAsia="Times New Roman" w:cstheme="minorHAnsi"/>
          <w:b/>
          <w:bCs/>
          <w:i/>
          <w:iCs/>
          <w:color w:val="000000"/>
          <w:lang w:eastAsia="de-DE"/>
        </w:rPr>
        <w:t>Project 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34"/>
        <w:gridCol w:w="2829"/>
        <w:gridCol w:w="1995"/>
        <w:gridCol w:w="2404"/>
      </w:tblGrid>
      <w:tr w:rsidR="007B65BE" w:rsidRPr="00D51EAD" w:rsidTr="007B65BE">
        <w:tc>
          <w:tcPr>
            <w:tcW w:w="1834"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7B65BE" w:rsidP="00D51EAD">
            <w:pPr>
              <w:spacing w:after="0" w:line="360" w:lineRule="auto"/>
              <w:jc w:val="both"/>
              <w:rPr>
                <w:rFonts w:eastAsia="Times New Roman" w:cstheme="minorHAnsi"/>
                <w:b/>
                <w:bCs/>
                <w:color w:val="000000"/>
                <w:lang w:eastAsia="de-DE"/>
              </w:rPr>
            </w:pPr>
            <w:proofErr w:type="spellStart"/>
            <w:r>
              <w:rPr>
                <w:rFonts w:eastAsia="Times New Roman" w:cstheme="minorHAnsi"/>
                <w:b/>
                <w:bCs/>
                <w:color w:val="000000"/>
                <w:lang w:eastAsia="de-DE"/>
              </w:rPr>
              <w:t>Amount</w:t>
            </w:r>
            <w:proofErr w:type="spellEnd"/>
            <w:r w:rsidR="00D51EAD" w:rsidRPr="00D51EAD">
              <w:rPr>
                <w:rFonts w:eastAsia="Times New Roman" w:cstheme="minorHAnsi"/>
                <w:b/>
                <w:bCs/>
                <w:color w:val="000000"/>
                <w:lang w:eastAsia="de-DE"/>
              </w:rPr>
              <w:t xml:space="preserve"> </w:t>
            </w:r>
          </w:p>
        </w:tc>
        <w:tc>
          <w:tcPr>
            <w:tcW w:w="2829"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7B65BE" w:rsidP="00D51EAD">
            <w:pPr>
              <w:spacing w:after="0" w:line="360" w:lineRule="auto"/>
              <w:jc w:val="both"/>
              <w:rPr>
                <w:rFonts w:eastAsia="Times New Roman" w:cstheme="minorHAnsi"/>
                <w:lang w:eastAsia="de-DE"/>
              </w:rPr>
            </w:pPr>
            <w:proofErr w:type="spellStart"/>
            <w:r>
              <w:rPr>
                <w:rFonts w:eastAsia="Times New Roman" w:cstheme="minorHAnsi"/>
                <w:b/>
                <w:bCs/>
                <w:color w:val="000000"/>
                <w:lang w:eastAsia="de-DE"/>
              </w:rPr>
              <w:t>Efforts</w:t>
            </w:r>
            <w:proofErr w:type="spellEnd"/>
            <w:r w:rsidR="00D51EAD" w:rsidRPr="00D51EAD">
              <w:rPr>
                <w:rFonts w:eastAsia="Times New Roman" w:cstheme="minorHAnsi"/>
                <w:b/>
                <w:bCs/>
                <w:color w:val="000000"/>
                <w:lang w:eastAsia="de-DE"/>
              </w:rPr>
              <w:t xml:space="preserve"> </w:t>
            </w:r>
          </w:p>
        </w:tc>
        <w:tc>
          <w:tcPr>
            <w:tcW w:w="1995"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7B65BE" w:rsidP="00D51EAD">
            <w:pPr>
              <w:spacing w:after="0" w:line="360" w:lineRule="auto"/>
              <w:jc w:val="both"/>
              <w:rPr>
                <w:rFonts w:eastAsia="Times New Roman" w:cstheme="minorHAnsi"/>
                <w:lang w:eastAsia="de-DE"/>
              </w:rPr>
            </w:pPr>
            <w:proofErr w:type="spellStart"/>
            <w:r>
              <w:rPr>
                <w:rFonts w:eastAsia="Times New Roman" w:cstheme="minorHAnsi"/>
                <w:b/>
                <w:bCs/>
                <w:color w:val="000000"/>
                <w:lang w:eastAsia="de-DE"/>
              </w:rPr>
              <w:t>Amount</w:t>
            </w:r>
            <w:proofErr w:type="spellEnd"/>
            <w:r w:rsidR="00D51EAD" w:rsidRPr="00D51EAD">
              <w:rPr>
                <w:rFonts w:eastAsia="Times New Roman" w:cstheme="minorHAnsi"/>
                <w:b/>
                <w:bCs/>
                <w:color w:val="000000"/>
                <w:lang w:eastAsia="de-DE"/>
              </w:rPr>
              <w:t xml:space="preserve"> </w:t>
            </w:r>
          </w:p>
        </w:tc>
        <w:tc>
          <w:tcPr>
            <w:tcW w:w="2404"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7B65BE" w:rsidP="00D51EAD">
            <w:pPr>
              <w:spacing w:after="0" w:line="360" w:lineRule="auto"/>
              <w:jc w:val="both"/>
              <w:rPr>
                <w:rFonts w:eastAsia="Times New Roman" w:cstheme="minorHAnsi"/>
                <w:lang w:eastAsia="de-DE"/>
              </w:rPr>
            </w:pPr>
            <w:r>
              <w:rPr>
                <w:rFonts w:eastAsia="Times New Roman" w:cstheme="minorHAnsi"/>
                <w:b/>
                <w:bCs/>
                <w:color w:val="000000"/>
                <w:lang w:eastAsia="de-DE"/>
              </w:rPr>
              <w:t>Revenue</w:t>
            </w:r>
          </w:p>
        </w:tc>
      </w:tr>
      <w:tr w:rsidR="007B65BE" w:rsidRPr="00D51EAD" w:rsidTr="007B65BE">
        <w:tc>
          <w:tcPr>
            <w:tcW w:w="1834"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D51EAD" w:rsidP="00D51EAD">
            <w:pPr>
              <w:spacing w:after="0" w:line="360" w:lineRule="auto"/>
              <w:jc w:val="both"/>
              <w:rPr>
                <w:rFonts w:eastAsia="Times New Roman" w:cstheme="minorHAnsi"/>
                <w:lang w:eastAsia="de-DE"/>
              </w:rPr>
            </w:pPr>
            <w:r w:rsidRPr="00D51EAD">
              <w:rPr>
                <w:rFonts w:eastAsia="Times New Roman" w:cstheme="minorHAnsi"/>
                <w:color w:val="000000"/>
                <w:lang w:eastAsia="de-DE"/>
              </w:rPr>
              <w:t xml:space="preserve">100.000,00 </w:t>
            </w:r>
          </w:p>
        </w:tc>
        <w:tc>
          <w:tcPr>
            <w:tcW w:w="2829"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7B65BE" w:rsidP="00D51EAD">
            <w:pPr>
              <w:spacing w:after="0" w:line="360" w:lineRule="auto"/>
              <w:jc w:val="both"/>
              <w:rPr>
                <w:rFonts w:eastAsia="Times New Roman" w:cstheme="minorHAnsi"/>
                <w:lang w:eastAsia="de-DE"/>
              </w:rPr>
            </w:pPr>
            <w:proofErr w:type="spellStart"/>
            <w:r>
              <w:rPr>
                <w:rFonts w:eastAsia="Times New Roman" w:cstheme="minorHAnsi"/>
                <w:color w:val="000000"/>
                <w:lang w:eastAsia="de-DE"/>
              </w:rPr>
              <w:t>Revenues</w:t>
            </w:r>
            <w:proofErr w:type="spellEnd"/>
            <w:r>
              <w:rPr>
                <w:rFonts w:eastAsia="Times New Roman" w:cstheme="minorHAnsi"/>
                <w:color w:val="000000"/>
                <w:lang w:eastAsia="de-DE"/>
              </w:rPr>
              <w:t xml:space="preserve"> Clinical Studies</w:t>
            </w:r>
          </w:p>
        </w:tc>
        <w:tc>
          <w:tcPr>
            <w:tcW w:w="1995" w:type="dxa"/>
            <w:vAlign w:val="center"/>
            <w:hideMark/>
          </w:tcPr>
          <w:p w:rsidR="00D51EAD" w:rsidRPr="00D51EAD" w:rsidRDefault="00D51EAD" w:rsidP="00D51EAD">
            <w:pPr>
              <w:spacing w:after="0" w:line="360" w:lineRule="auto"/>
              <w:jc w:val="both"/>
              <w:rPr>
                <w:rFonts w:eastAsia="Times New Roman" w:cstheme="minorHAnsi"/>
                <w:lang w:eastAsia="de-DE"/>
              </w:rPr>
            </w:pPr>
          </w:p>
        </w:tc>
        <w:tc>
          <w:tcPr>
            <w:tcW w:w="2404" w:type="dxa"/>
            <w:vAlign w:val="center"/>
            <w:hideMark/>
          </w:tcPr>
          <w:p w:rsidR="00D51EAD" w:rsidRPr="00D51EAD" w:rsidRDefault="00D51EAD" w:rsidP="00D51EAD">
            <w:pPr>
              <w:spacing w:after="0" w:line="360" w:lineRule="auto"/>
              <w:jc w:val="both"/>
              <w:rPr>
                <w:rFonts w:eastAsia="Times New Roman" w:cstheme="minorHAnsi"/>
                <w:lang w:eastAsia="de-DE"/>
              </w:rPr>
            </w:pPr>
          </w:p>
        </w:tc>
      </w:tr>
      <w:tr w:rsidR="007B65BE" w:rsidRPr="00D51EAD" w:rsidTr="007B65BE">
        <w:tc>
          <w:tcPr>
            <w:tcW w:w="1834"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D51EAD" w:rsidP="00D51EAD">
            <w:pPr>
              <w:spacing w:after="0" w:line="360" w:lineRule="auto"/>
              <w:jc w:val="both"/>
              <w:rPr>
                <w:rFonts w:eastAsia="Times New Roman" w:cstheme="minorHAnsi"/>
                <w:lang w:eastAsia="de-DE"/>
              </w:rPr>
            </w:pPr>
            <w:r w:rsidRPr="00D51EAD">
              <w:rPr>
                <w:rFonts w:eastAsia="Times New Roman" w:cstheme="minorHAnsi"/>
                <w:color w:val="000000"/>
                <w:lang w:eastAsia="de-DE"/>
              </w:rPr>
              <w:t xml:space="preserve">90.000,00 </w:t>
            </w:r>
          </w:p>
        </w:tc>
        <w:tc>
          <w:tcPr>
            <w:tcW w:w="2829"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7B65BE" w:rsidP="00D51EAD">
            <w:pPr>
              <w:spacing w:after="0" w:line="360" w:lineRule="auto"/>
              <w:jc w:val="both"/>
              <w:rPr>
                <w:rFonts w:eastAsia="Times New Roman" w:cstheme="minorHAnsi"/>
                <w:lang w:eastAsia="de-DE"/>
              </w:rPr>
            </w:pPr>
            <w:proofErr w:type="spellStart"/>
            <w:r>
              <w:rPr>
                <w:rFonts w:eastAsia="Times New Roman" w:cstheme="minorHAnsi"/>
                <w:color w:val="000000"/>
                <w:lang w:eastAsia="de-DE"/>
              </w:rPr>
              <w:t>Various</w:t>
            </w:r>
            <w:proofErr w:type="spellEnd"/>
            <w:r>
              <w:rPr>
                <w:rFonts w:eastAsia="Times New Roman" w:cstheme="minorHAnsi"/>
                <w:color w:val="000000"/>
                <w:lang w:eastAsia="de-DE"/>
              </w:rPr>
              <w:t xml:space="preserve"> </w:t>
            </w:r>
            <w:proofErr w:type="spellStart"/>
            <w:r>
              <w:rPr>
                <w:rFonts w:eastAsia="Times New Roman" w:cstheme="minorHAnsi"/>
                <w:color w:val="000000"/>
                <w:lang w:eastAsia="de-DE"/>
              </w:rPr>
              <w:t>expense</w:t>
            </w:r>
            <w:proofErr w:type="spellEnd"/>
            <w:r>
              <w:rPr>
                <w:rFonts w:eastAsia="Times New Roman" w:cstheme="minorHAnsi"/>
                <w:color w:val="000000"/>
                <w:lang w:eastAsia="de-DE"/>
              </w:rPr>
              <w:t xml:space="preserve"> </w:t>
            </w:r>
            <w:proofErr w:type="spellStart"/>
            <w:r>
              <w:rPr>
                <w:rFonts w:eastAsia="Times New Roman" w:cstheme="minorHAnsi"/>
                <w:color w:val="000000"/>
                <w:lang w:eastAsia="de-DE"/>
              </w:rPr>
              <w:t>postings</w:t>
            </w:r>
            <w:proofErr w:type="spellEnd"/>
          </w:p>
        </w:tc>
        <w:tc>
          <w:tcPr>
            <w:tcW w:w="1995" w:type="dxa"/>
            <w:vAlign w:val="center"/>
            <w:hideMark/>
          </w:tcPr>
          <w:p w:rsidR="00D51EAD" w:rsidRPr="00D51EAD" w:rsidRDefault="00D51EAD" w:rsidP="00D51EAD">
            <w:pPr>
              <w:spacing w:after="0" w:line="360" w:lineRule="auto"/>
              <w:jc w:val="both"/>
              <w:rPr>
                <w:rFonts w:eastAsia="Times New Roman" w:cstheme="minorHAnsi"/>
                <w:lang w:eastAsia="de-DE"/>
              </w:rPr>
            </w:pPr>
          </w:p>
        </w:tc>
        <w:tc>
          <w:tcPr>
            <w:tcW w:w="2404" w:type="dxa"/>
            <w:vAlign w:val="center"/>
            <w:hideMark/>
          </w:tcPr>
          <w:p w:rsidR="00D51EAD" w:rsidRPr="00D51EAD" w:rsidRDefault="00D51EAD" w:rsidP="00D51EAD">
            <w:pPr>
              <w:spacing w:after="0" w:line="360" w:lineRule="auto"/>
              <w:jc w:val="both"/>
              <w:rPr>
                <w:rFonts w:eastAsia="Times New Roman" w:cstheme="minorHAnsi"/>
                <w:lang w:eastAsia="de-DE"/>
              </w:rPr>
            </w:pPr>
          </w:p>
        </w:tc>
      </w:tr>
    </w:tbl>
    <w:p w:rsidR="007B65BE" w:rsidRPr="007B65BE" w:rsidRDefault="007B65BE" w:rsidP="007B65BE">
      <w:pPr>
        <w:spacing w:after="0" w:line="360" w:lineRule="auto"/>
        <w:jc w:val="both"/>
        <w:rPr>
          <w:rFonts w:eastAsia="Times New Roman" w:cstheme="minorHAnsi"/>
          <w:color w:val="000000"/>
          <w:lang w:val="en-US" w:eastAsia="de-DE"/>
        </w:rPr>
      </w:pPr>
      <w:r w:rsidRPr="007B65BE">
        <w:rPr>
          <w:rFonts w:eastAsia="Times New Roman" w:cstheme="minorHAnsi"/>
          <w:color w:val="000000"/>
          <w:lang w:val="en-US" w:eastAsia="de-DE"/>
        </w:rPr>
        <w:t>Medical University of Innsbruck 3 / 3 Printed: 18.05.2009</w:t>
      </w:r>
    </w:p>
    <w:p w:rsidR="00D51EAD" w:rsidRPr="00D51EAD" w:rsidRDefault="007B65BE" w:rsidP="007B65BE">
      <w:pPr>
        <w:spacing w:after="0" w:line="360" w:lineRule="auto"/>
        <w:jc w:val="both"/>
        <w:rPr>
          <w:rFonts w:eastAsia="Times New Roman" w:cstheme="minorHAnsi"/>
          <w:lang w:eastAsia="de-DE"/>
        </w:rPr>
      </w:pPr>
      <w:r w:rsidRPr="007B65BE">
        <w:rPr>
          <w:rFonts w:eastAsia="Times New Roman" w:cstheme="minorHAnsi"/>
          <w:color w:val="000000"/>
          <w:lang w:eastAsia="de-DE"/>
        </w:rPr>
        <w:t xml:space="preserve">Evaluation &amp; Quality Management </w:t>
      </w:r>
      <w:proofErr w:type="spellStart"/>
      <w:r w:rsidRPr="007B65BE">
        <w:rPr>
          <w:rFonts w:eastAsia="Times New Roman" w:cstheme="minorHAnsi"/>
          <w:color w:val="000000"/>
          <w:lang w:eastAsia="de-DE"/>
        </w:rPr>
        <w:t>Modified</w:t>
      </w:r>
      <w:proofErr w:type="spellEnd"/>
      <w:r w:rsidRPr="007B65BE">
        <w:rPr>
          <w:rFonts w:eastAsia="Times New Roman" w:cstheme="minorHAnsi"/>
          <w:color w:val="000000"/>
          <w:lang w:eastAsia="de-DE"/>
        </w:rPr>
        <w:t>: 14.05.2009</w:t>
      </w: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2835"/>
        <w:gridCol w:w="1985"/>
        <w:gridCol w:w="2409"/>
      </w:tblGrid>
      <w:tr w:rsidR="00D51EAD" w:rsidRPr="00D51EAD" w:rsidTr="007B65BE">
        <w:trPr>
          <w:gridAfter w:val="2"/>
          <w:wAfter w:w="4394" w:type="dxa"/>
        </w:trPr>
        <w:tc>
          <w:tcPr>
            <w:tcW w:w="1838"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D51EAD" w:rsidP="00D51EAD">
            <w:pPr>
              <w:spacing w:after="0" w:line="360" w:lineRule="auto"/>
              <w:jc w:val="both"/>
              <w:rPr>
                <w:rFonts w:eastAsia="Times New Roman" w:cstheme="minorHAnsi"/>
                <w:lang w:eastAsia="de-DE"/>
              </w:rPr>
            </w:pPr>
            <w:r w:rsidRPr="00D51EAD">
              <w:rPr>
                <w:rFonts w:eastAsia="Times New Roman" w:cstheme="minorHAnsi"/>
                <w:color w:val="000000"/>
                <w:lang w:eastAsia="de-DE"/>
              </w:rPr>
              <w:t xml:space="preserve">10.000,00 </w:t>
            </w:r>
          </w:p>
        </w:tc>
        <w:tc>
          <w:tcPr>
            <w:tcW w:w="2835" w:type="dxa"/>
            <w:tcBorders>
              <w:top w:val="single" w:sz="4" w:space="0" w:color="auto"/>
              <w:left w:val="single" w:sz="4" w:space="0" w:color="auto"/>
              <w:bottom w:val="single" w:sz="4" w:space="0" w:color="auto"/>
              <w:right w:val="single" w:sz="4" w:space="0" w:color="auto"/>
            </w:tcBorders>
            <w:vAlign w:val="center"/>
            <w:hideMark/>
          </w:tcPr>
          <w:p w:rsidR="00417EFB" w:rsidRPr="00417EFB" w:rsidRDefault="00417EFB" w:rsidP="00417EFB">
            <w:pPr>
              <w:spacing w:after="0" w:line="240" w:lineRule="auto"/>
              <w:jc w:val="both"/>
              <w:rPr>
                <w:rFonts w:eastAsia="Times New Roman" w:cstheme="minorHAnsi"/>
                <w:color w:val="000000"/>
                <w:lang w:val="en-US" w:eastAsia="de-DE"/>
              </w:rPr>
            </w:pPr>
            <w:r w:rsidRPr="00417EFB">
              <w:rPr>
                <w:rFonts w:eastAsia="Times New Roman" w:cstheme="minorHAnsi"/>
                <w:color w:val="000000"/>
                <w:lang w:val="en-US" w:eastAsia="de-DE"/>
              </w:rPr>
              <w:t>CO transfer posting: "Payment</w:t>
            </w:r>
          </w:p>
          <w:p w:rsidR="00417EFB" w:rsidRPr="00417EFB" w:rsidRDefault="00417EFB" w:rsidP="00417EFB">
            <w:pPr>
              <w:spacing w:after="0" w:line="240" w:lineRule="auto"/>
              <w:jc w:val="both"/>
              <w:rPr>
                <w:rFonts w:eastAsia="Times New Roman" w:cstheme="minorHAnsi"/>
                <w:color w:val="000000"/>
                <w:lang w:val="en-US" w:eastAsia="de-DE"/>
              </w:rPr>
            </w:pPr>
            <w:r w:rsidRPr="00417EFB">
              <w:rPr>
                <w:rFonts w:eastAsia="Times New Roman" w:cstheme="minorHAnsi"/>
                <w:color w:val="000000"/>
                <w:lang w:val="en-US" w:eastAsia="de-DE"/>
              </w:rPr>
              <w:t>to P4 for services rendered</w:t>
            </w:r>
          </w:p>
          <w:p w:rsidR="00D51EAD" w:rsidRPr="00D51EAD" w:rsidRDefault="00417EFB" w:rsidP="00417EFB">
            <w:pPr>
              <w:spacing w:after="0" w:line="240" w:lineRule="auto"/>
              <w:jc w:val="both"/>
              <w:rPr>
                <w:rFonts w:eastAsia="Times New Roman" w:cstheme="minorHAnsi"/>
                <w:lang w:eastAsia="de-DE"/>
              </w:rPr>
            </w:pPr>
            <w:proofErr w:type="spellStart"/>
            <w:r w:rsidRPr="00417EFB">
              <w:rPr>
                <w:rFonts w:eastAsia="Times New Roman" w:cstheme="minorHAnsi"/>
                <w:color w:val="000000"/>
                <w:lang w:eastAsia="de-DE"/>
              </w:rPr>
              <w:t>services</w:t>
            </w:r>
            <w:proofErr w:type="spellEnd"/>
            <w:r w:rsidRPr="00417EFB">
              <w:rPr>
                <w:rFonts w:eastAsia="Times New Roman" w:cstheme="minorHAnsi"/>
                <w:color w:val="000000"/>
                <w:lang w:eastAsia="de-DE"/>
              </w:rPr>
              <w:t xml:space="preserve"> </w:t>
            </w:r>
            <w:proofErr w:type="spellStart"/>
            <w:r w:rsidRPr="00417EFB">
              <w:rPr>
                <w:rFonts w:eastAsia="Times New Roman" w:cstheme="minorHAnsi"/>
                <w:color w:val="000000"/>
                <w:lang w:eastAsia="de-DE"/>
              </w:rPr>
              <w:t>rendered</w:t>
            </w:r>
            <w:proofErr w:type="spellEnd"/>
          </w:p>
        </w:tc>
      </w:tr>
      <w:tr w:rsidR="007B65BE" w:rsidRPr="00D51EAD" w:rsidTr="007B65BE">
        <w:tc>
          <w:tcPr>
            <w:tcW w:w="1838"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D51EAD" w:rsidP="00D51EAD">
            <w:pPr>
              <w:spacing w:after="0" w:line="360" w:lineRule="auto"/>
              <w:jc w:val="both"/>
              <w:rPr>
                <w:rFonts w:eastAsia="Times New Roman" w:cstheme="minorHAnsi"/>
                <w:lang w:eastAsia="de-DE"/>
              </w:rPr>
            </w:pPr>
            <w:r w:rsidRPr="00D51EAD">
              <w:rPr>
                <w:rFonts w:eastAsia="Times New Roman" w:cstheme="minorHAnsi"/>
                <w:b/>
                <w:bCs/>
                <w:color w:val="000000"/>
                <w:lang w:eastAsia="de-DE"/>
              </w:rPr>
              <w:t xml:space="preserve">100.000,00 </w:t>
            </w:r>
          </w:p>
        </w:tc>
        <w:tc>
          <w:tcPr>
            <w:tcW w:w="2835"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417EFB" w:rsidP="00417EFB">
            <w:pPr>
              <w:spacing w:after="0" w:line="240" w:lineRule="auto"/>
              <w:jc w:val="both"/>
              <w:rPr>
                <w:rFonts w:eastAsia="Times New Roman" w:cstheme="minorHAnsi"/>
                <w:lang w:val="en-US" w:eastAsia="de-DE"/>
              </w:rPr>
            </w:pPr>
            <w:r w:rsidRPr="00926C31">
              <w:rPr>
                <w:rFonts w:eastAsia="Times New Roman" w:cstheme="minorHAnsi"/>
                <w:b/>
                <w:bCs/>
                <w:color w:val="000000"/>
                <w:lang w:val="en-US" w:eastAsia="de-DE"/>
              </w:rPr>
              <w:t xml:space="preserve">Balance of general and administrative expenses </w:t>
            </w:r>
            <w:r w:rsidR="00D51EAD" w:rsidRPr="00417EFB">
              <w:rPr>
                <w:rFonts w:eastAsia="Times New Roman" w:cstheme="minorHAnsi"/>
                <w:b/>
                <w:bCs/>
                <w:color w:val="000000"/>
                <w:lang w:val="en-US" w:eastAsia="de-DE"/>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D51EAD" w:rsidP="007B65BE">
            <w:pPr>
              <w:tabs>
                <w:tab w:val="left" w:pos="1576"/>
              </w:tabs>
              <w:spacing w:after="0" w:line="360" w:lineRule="auto"/>
              <w:jc w:val="both"/>
              <w:rPr>
                <w:rFonts w:eastAsia="Times New Roman" w:cstheme="minorHAnsi"/>
                <w:lang w:eastAsia="de-DE"/>
              </w:rPr>
            </w:pPr>
            <w:r w:rsidRPr="00D51EAD">
              <w:rPr>
                <w:rFonts w:eastAsia="Times New Roman" w:cstheme="minorHAnsi"/>
                <w:b/>
                <w:bCs/>
                <w:color w:val="000000"/>
                <w:lang w:eastAsia="de-DE"/>
              </w:rPr>
              <w:t xml:space="preserve">100.000,00 </w:t>
            </w:r>
          </w:p>
        </w:tc>
        <w:tc>
          <w:tcPr>
            <w:tcW w:w="2409"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417EFB" w:rsidP="00D51EAD">
            <w:pPr>
              <w:spacing w:after="0" w:line="360" w:lineRule="auto"/>
              <w:jc w:val="both"/>
              <w:rPr>
                <w:rFonts w:eastAsia="Times New Roman" w:cstheme="minorHAnsi"/>
                <w:lang w:eastAsia="de-DE"/>
              </w:rPr>
            </w:pPr>
            <w:r>
              <w:rPr>
                <w:rFonts w:eastAsia="Times New Roman" w:cstheme="minorHAnsi"/>
                <w:b/>
                <w:bCs/>
                <w:color w:val="000000"/>
                <w:lang w:eastAsia="de-DE"/>
              </w:rPr>
              <w:t>Balance Revenue</w:t>
            </w:r>
          </w:p>
        </w:tc>
      </w:tr>
    </w:tbl>
    <w:p w:rsidR="00D51EAD" w:rsidRPr="00D51EAD" w:rsidRDefault="00D51EAD" w:rsidP="00417EFB">
      <w:pPr>
        <w:spacing w:before="240" w:after="0" w:line="360" w:lineRule="auto"/>
        <w:jc w:val="both"/>
        <w:rPr>
          <w:rFonts w:eastAsia="Times New Roman" w:cstheme="minorHAnsi"/>
          <w:lang w:eastAsia="de-DE"/>
        </w:rPr>
      </w:pPr>
      <w:r w:rsidRPr="00D51EAD">
        <w:rPr>
          <w:rFonts w:eastAsia="Times New Roman" w:cstheme="minorHAnsi"/>
          <w:b/>
          <w:bCs/>
          <w:color w:val="000000"/>
          <w:lang w:eastAsia="de-DE"/>
        </w:rPr>
        <w:t>Proje</w:t>
      </w:r>
      <w:r w:rsidR="00417EFB">
        <w:rPr>
          <w:rFonts w:eastAsia="Times New Roman" w:cstheme="minorHAnsi"/>
          <w:b/>
          <w:bCs/>
          <w:color w:val="000000"/>
          <w:lang w:eastAsia="de-DE"/>
        </w:rPr>
        <w:t>c</w:t>
      </w:r>
      <w:r w:rsidRPr="00D51EAD">
        <w:rPr>
          <w:rFonts w:eastAsia="Times New Roman" w:cstheme="minorHAnsi"/>
          <w:b/>
          <w:bCs/>
          <w:color w:val="000000"/>
          <w:lang w:eastAsia="de-DE"/>
        </w:rPr>
        <w:t>t 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25"/>
        <w:gridCol w:w="2974"/>
        <w:gridCol w:w="1959"/>
        <w:gridCol w:w="2404"/>
      </w:tblGrid>
      <w:tr w:rsidR="00D51EAD" w:rsidRPr="00D51EAD" w:rsidTr="00417EFB">
        <w:tc>
          <w:tcPr>
            <w:tcW w:w="1725"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417EFB" w:rsidP="00D51EAD">
            <w:pPr>
              <w:spacing w:after="0" w:line="360" w:lineRule="auto"/>
              <w:jc w:val="both"/>
              <w:rPr>
                <w:rFonts w:eastAsia="Times New Roman" w:cstheme="minorHAnsi"/>
                <w:lang w:eastAsia="de-DE"/>
              </w:rPr>
            </w:pPr>
            <w:proofErr w:type="spellStart"/>
            <w:r>
              <w:rPr>
                <w:rFonts w:eastAsia="Times New Roman" w:cstheme="minorHAnsi"/>
                <w:b/>
                <w:bCs/>
                <w:color w:val="000000"/>
                <w:lang w:eastAsia="de-DE"/>
              </w:rPr>
              <w:t>Amount</w:t>
            </w:r>
            <w:proofErr w:type="spellEnd"/>
            <w:r w:rsidR="00D51EAD" w:rsidRPr="00D51EAD">
              <w:rPr>
                <w:rFonts w:eastAsia="Times New Roman" w:cstheme="minorHAnsi"/>
                <w:b/>
                <w:bCs/>
                <w:color w:val="000000"/>
                <w:lang w:eastAsia="de-DE"/>
              </w:rPr>
              <w:t xml:space="preserve"> </w:t>
            </w:r>
          </w:p>
        </w:tc>
        <w:tc>
          <w:tcPr>
            <w:tcW w:w="2974"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417EFB" w:rsidP="00D51EAD">
            <w:pPr>
              <w:spacing w:after="0" w:line="360" w:lineRule="auto"/>
              <w:jc w:val="both"/>
              <w:rPr>
                <w:rFonts w:eastAsia="Times New Roman" w:cstheme="minorHAnsi"/>
                <w:lang w:eastAsia="de-DE"/>
              </w:rPr>
            </w:pPr>
            <w:proofErr w:type="spellStart"/>
            <w:r>
              <w:rPr>
                <w:rFonts w:eastAsia="Times New Roman" w:cstheme="minorHAnsi"/>
                <w:b/>
                <w:bCs/>
                <w:color w:val="000000"/>
                <w:lang w:eastAsia="de-DE"/>
              </w:rPr>
              <w:t>Efforts</w:t>
            </w:r>
            <w:proofErr w:type="spellEnd"/>
          </w:p>
        </w:tc>
        <w:tc>
          <w:tcPr>
            <w:tcW w:w="1959"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417EFB" w:rsidP="00D51EAD">
            <w:pPr>
              <w:spacing w:after="0" w:line="360" w:lineRule="auto"/>
              <w:jc w:val="both"/>
              <w:rPr>
                <w:rFonts w:eastAsia="Times New Roman" w:cstheme="minorHAnsi"/>
                <w:lang w:eastAsia="de-DE"/>
              </w:rPr>
            </w:pPr>
            <w:proofErr w:type="spellStart"/>
            <w:r>
              <w:rPr>
                <w:rFonts w:eastAsia="Times New Roman" w:cstheme="minorHAnsi"/>
                <w:b/>
                <w:bCs/>
                <w:color w:val="000000"/>
                <w:lang w:eastAsia="de-DE"/>
              </w:rPr>
              <w:t>Amount</w:t>
            </w:r>
            <w:proofErr w:type="spellEnd"/>
          </w:p>
        </w:tc>
        <w:tc>
          <w:tcPr>
            <w:tcW w:w="2404"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417EFB" w:rsidP="00D51EAD">
            <w:pPr>
              <w:spacing w:after="0" w:line="360" w:lineRule="auto"/>
              <w:jc w:val="both"/>
              <w:rPr>
                <w:rFonts w:eastAsia="Times New Roman" w:cstheme="minorHAnsi"/>
                <w:lang w:eastAsia="de-DE"/>
              </w:rPr>
            </w:pPr>
            <w:r>
              <w:rPr>
                <w:rFonts w:eastAsia="Times New Roman" w:cstheme="minorHAnsi"/>
                <w:b/>
                <w:bCs/>
                <w:color w:val="000000"/>
                <w:lang w:eastAsia="de-DE"/>
              </w:rPr>
              <w:t>Revenue</w:t>
            </w:r>
          </w:p>
        </w:tc>
      </w:tr>
      <w:tr w:rsidR="00D51EAD" w:rsidRPr="00D51EAD" w:rsidTr="00417EFB">
        <w:tc>
          <w:tcPr>
            <w:tcW w:w="1725"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D51EAD" w:rsidP="00D51EAD">
            <w:pPr>
              <w:spacing w:after="0" w:line="360" w:lineRule="auto"/>
              <w:jc w:val="both"/>
              <w:rPr>
                <w:rFonts w:eastAsia="Times New Roman" w:cstheme="minorHAnsi"/>
                <w:lang w:eastAsia="de-DE"/>
              </w:rPr>
            </w:pPr>
            <w:r w:rsidRPr="00D51EAD">
              <w:rPr>
                <w:rFonts w:eastAsia="Times New Roman" w:cstheme="minorHAnsi"/>
                <w:color w:val="000000"/>
                <w:lang w:eastAsia="de-DE"/>
              </w:rPr>
              <w:t xml:space="preserve">50.000,00 </w:t>
            </w:r>
          </w:p>
        </w:tc>
        <w:tc>
          <w:tcPr>
            <w:tcW w:w="2974"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417EFB" w:rsidP="00D51EAD">
            <w:pPr>
              <w:spacing w:after="0" w:line="360" w:lineRule="auto"/>
              <w:jc w:val="both"/>
              <w:rPr>
                <w:rFonts w:eastAsia="Times New Roman" w:cstheme="minorHAnsi"/>
                <w:lang w:eastAsia="de-DE"/>
              </w:rPr>
            </w:pPr>
            <w:proofErr w:type="spellStart"/>
            <w:r>
              <w:rPr>
                <w:rFonts w:eastAsia="Times New Roman" w:cstheme="minorHAnsi"/>
                <w:color w:val="000000"/>
                <w:lang w:eastAsia="de-DE"/>
              </w:rPr>
              <w:t>Revenues</w:t>
            </w:r>
            <w:proofErr w:type="spellEnd"/>
            <w:r w:rsidR="00D51EAD" w:rsidRPr="00D51EAD">
              <w:rPr>
                <w:rFonts w:eastAsia="Times New Roman" w:cstheme="minorHAnsi"/>
                <w:color w:val="000000"/>
                <w:lang w:eastAsia="de-DE"/>
              </w:rPr>
              <w:t xml:space="preserve"> Abbott GmbH</w:t>
            </w:r>
          </w:p>
        </w:tc>
        <w:tc>
          <w:tcPr>
            <w:tcW w:w="1959" w:type="dxa"/>
            <w:vAlign w:val="center"/>
            <w:hideMark/>
          </w:tcPr>
          <w:p w:rsidR="00D51EAD" w:rsidRPr="00D51EAD" w:rsidRDefault="00D51EAD" w:rsidP="00D51EAD">
            <w:pPr>
              <w:spacing w:after="0" w:line="360" w:lineRule="auto"/>
              <w:jc w:val="both"/>
              <w:rPr>
                <w:rFonts w:eastAsia="Times New Roman" w:cstheme="minorHAnsi"/>
                <w:lang w:eastAsia="de-DE"/>
              </w:rPr>
            </w:pPr>
          </w:p>
        </w:tc>
        <w:tc>
          <w:tcPr>
            <w:tcW w:w="2404" w:type="dxa"/>
            <w:vAlign w:val="center"/>
            <w:hideMark/>
          </w:tcPr>
          <w:p w:rsidR="00D51EAD" w:rsidRPr="00D51EAD" w:rsidRDefault="00D51EAD" w:rsidP="00D51EAD">
            <w:pPr>
              <w:spacing w:after="0" w:line="360" w:lineRule="auto"/>
              <w:jc w:val="both"/>
              <w:rPr>
                <w:rFonts w:eastAsia="Times New Roman" w:cstheme="minorHAnsi"/>
                <w:lang w:eastAsia="de-DE"/>
              </w:rPr>
            </w:pPr>
          </w:p>
        </w:tc>
      </w:tr>
      <w:tr w:rsidR="00D51EAD" w:rsidRPr="00D51EAD" w:rsidTr="00417EFB">
        <w:tc>
          <w:tcPr>
            <w:tcW w:w="1725"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D51EAD" w:rsidP="00D51EAD">
            <w:pPr>
              <w:spacing w:after="0" w:line="360" w:lineRule="auto"/>
              <w:jc w:val="both"/>
              <w:rPr>
                <w:rFonts w:eastAsia="Times New Roman" w:cstheme="minorHAnsi"/>
                <w:lang w:eastAsia="de-DE"/>
              </w:rPr>
            </w:pPr>
            <w:r w:rsidRPr="00D51EAD">
              <w:rPr>
                <w:rFonts w:eastAsia="Times New Roman" w:cstheme="minorHAnsi"/>
                <w:color w:val="000000"/>
                <w:lang w:eastAsia="de-DE"/>
              </w:rPr>
              <w:t xml:space="preserve">-10.000,00 </w:t>
            </w:r>
          </w:p>
        </w:tc>
        <w:tc>
          <w:tcPr>
            <w:tcW w:w="2974" w:type="dxa"/>
            <w:tcBorders>
              <w:top w:val="single" w:sz="4" w:space="0" w:color="auto"/>
              <w:left w:val="single" w:sz="4" w:space="0" w:color="auto"/>
              <w:bottom w:val="single" w:sz="4" w:space="0" w:color="auto"/>
              <w:right w:val="single" w:sz="4" w:space="0" w:color="auto"/>
            </w:tcBorders>
            <w:vAlign w:val="center"/>
            <w:hideMark/>
          </w:tcPr>
          <w:p w:rsidR="00417EFB" w:rsidRPr="00417EFB" w:rsidRDefault="00417EFB" w:rsidP="00417EFB">
            <w:pPr>
              <w:spacing w:after="0" w:line="240" w:lineRule="auto"/>
              <w:jc w:val="both"/>
              <w:rPr>
                <w:rFonts w:eastAsia="Times New Roman" w:cstheme="minorHAnsi"/>
                <w:color w:val="000000"/>
                <w:lang w:val="en-US" w:eastAsia="de-DE"/>
              </w:rPr>
            </w:pPr>
            <w:r w:rsidRPr="00417EFB">
              <w:rPr>
                <w:rFonts w:eastAsia="Times New Roman" w:cstheme="minorHAnsi"/>
                <w:color w:val="000000"/>
                <w:lang w:val="en-US" w:eastAsia="de-DE"/>
              </w:rPr>
              <w:t>CO reposting:</w:t>
            </w:r>
          </w:p>
          <w:p w:rsidR="00417EFB" w:rsidRPr="00417EFB" w:rsidRDefault="00417EFB" w:rsidP="00417EFB">
            <w:pPr>
              <w:spacing w:after="0" w:line="240" w:lineRule="auto"/>
              <w:jc w:val="both"/>
              <w:rPr>
                <w:rFonts w:eastAsia="Times New Roman" w:cstheme="minorHAnsi"/>
                <w:color w:val="000000"/>
                <w:lang w:val="en-US" w:eastAsia="de-DE"/>
              </w:rPr>
            </w:pPr>
            <w:r w:rsidRPr="00417EFB">
              <w:rPr>
                <w:rFonts w:eastAsia="Times New Roman" w:cstheme="minorHAnsi"/>
                <w:color w:val="000000"/>
                <w:lang w:val="en-US" w:eastAsia="de-DE"/>
              </w:rPr>
              <w:t>"Payment" for services rendered for P3</w:t>
            </w:r>
          </w:p>
          <w:p w:rsidR="00D51EAD" w:rsidRPr="00D51EAD" w:rsidRDefault="00417EFB" w:rsidP="00417EFB">
            <w:pPr>
              <w:spacing w:after="0" w:line="240" w:lineRule="auto"/>
              <w:jc w:val="both"/>
              <w:rPr>
                <w:rFonts w:eastAsia="Times New Roman" w:cstheme="minorHAnsi"/>
                <w:lang w:eastAsia="de-DE"/>
              </w:rPr>
            </w:pPr>
            <w:proofErr w:type="spellStart"/>
            <w:r w:rsidRPr="00417EFB">
              <w:rPr>
                <w:rFonts w:eastAsia="Times New Roman" w:cstheme="minorHAnsi"/>
                <w:color w:val="000000"/>
                <w:lang w:eastAsia="de-DE"/>
              </w:rPr>
              <w:t>services</w:t>
            </w:r>
            <w:proofErr w:type="spellEnd"/>
            <w:r w:rsidRPr="00417EFB">
              <w:rPr>
                <w:rFonts w:eastAsia="Times New Roman" w:cstheme="minorHAnsi"/>
                <w:color w:val="000000"/>
                <w:lang w:eastAsia="de-DE"/>
              </w:rPr>
              <w:t xml:space="preserve"> </w:t>
            </w:r>
            <w:proofErr w:type="spellStart"/>
            <w:r w:rsidRPr="00417EFB">
              <w:rPr>
                <w:rFonts w:eastAsia="Times New Roman" w:cstheme="minorHAnsi"/>
                <w:color w:val="000000"/>
                <w:lang w:eastAsia="de-DE"/>
              </w:rPr>
              <w:t>rendered</w:t>
            </w:r>
            <w:proofErr w:type="spellEnd"/>
          </w:p>
        </w:tc>
        <w:tc>
          <w:tcPr>
            <w:tcW w:w="1959" w:type="dxa"/>
            <w:vAlign w:val="center"/>
            <w:hideMark/>
          </w:tcPr>
          <w:p w:rsidR="00D51EAD" w:rsidRPr="00D51EAD" w:rsidRDefault="00D51EAD" w:rsidP="00D51EAD">
            <w:pPr>
              <w:spacing w:after="0" w:line="360" w:lineRule="auto"/>
              <w:jc w:val="both"/>
              <w:rPr>
                <w:rFonts w:eastAsia="Times New Roman" w:cstheme="minorHAnsi"/>
                <w:lang w:eastAsia="de-DE"/>
              </w:rPr>
            </w:pPr>
          </w:p>
        </w:tc>
        <w:tc>
          <w:tcPr>
            <w:tcW w:w="2404" w:type="dxa"/>
            <w:vAlign w:val="center"/>
            <w:hideMark/>
          </w:tcPr>
          <w:p w:rsidR="00D51EAD" w:rsidRPr="00D51EAD" w:rsidRDefault="00D51EAD" w:rsidP="00D51EAD">
            <w:pPr>
              <w:spacing w:after="0" w:line="360" w:lineRule="auto"/>
              <w:jc w:val="both"/>
              <w:rPr>
                <w:rFonts w:eastAsia="Times New Roman" w:cstheme="minorHAnsi"/>
                <w:lang w:eastAsia="de-DE"/>
              </w:rPr>
            </w:pPr>
          </w:p>
        </w:tc>
      </w:tr>
      <w:tr w:rsidR="00D51EAD" w:rsidRPr="00D51EAD" w:rsidTr="00417EFB">
        <w:tc>
          <w:tcPr>
            <w:tcW w:w="1725"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D51EAD" w:rsidP="00D51EAD">
            <w:pPr>
              <w:spacing w:after="0" w:line="360" w:lineRule="auto"/>
              <w:jc w:val="both"/>
              <w:rPr>
                <w:rFonts w:eastAsia="Times New Roman" w:cstheme="minorHAnsi"/>
                <w:lang w:eastAsia="de-DE"/>
              </w:rPr>
            </w:pPr>
            <w:r w:rsidRPr="00D51EAD">
              <w:rPr>
                <w:rFonts w:eastAsia="Times New Roman" w:cstheme="minorHAnsi"/>
                <w:color w:val="000000"/>
                <w:lang w:eastAsia="de-DE"/>
              </w:rPr>
              <w:t xml:space="preserve">60.000,00 </w:t>
            </w:r>
          </w:p>
        </w:tc>
        <w:tc>
          <w:tcPr>
            <w:tcW w:w="2974" w:type="dxa"/>
            <w:tcBorders>
              <w:top w:val="single" w:sz="4" w:space="0" w:color="auto"/>
              <w:left w:val="single" w:sz="4" w:space="0" w:color="auto"/>
              <w:bottom w:val="single" w:sz="4" w:space="0" w:color="auto"/>
              <w:right w:val="single" w:sz="4" w:space="0" w:color="auto"/>
            </w:tcBorders>
            <w:vAlign w:val="center"/>
            <w:hideMark/>
          </w:tcPr>
          <w:p w:rsidR="00D51EAD" w:rsidRPr="00D51EAD" w:rsidRDefault="00417EFB" w:rsidP="00D51EAD">
            <w:pPr>
              <w:spacing w:after="0" w:line="360" w:lineRule="auto"/>
              <w:jc w:val="both"/>
              <w:rPr>
                <w:rFonts w:eastAsia="Times New Roman" w:cstheme="minorHAnsi"/>
                <w:lang w:eastAsia="de-DE"/>
              </w:rPr>
            </w:pPr>
            <w:proofErr w:type="spellStart"/>
            <w:r>
              <w:rPr>
                <w:rFonts w:eastAsia="Times New Roman" w:cstheme="minorHAnsi"/>
                <w:color w:val="000000"/>
                <w:lang w:eastAsia="de-DE"/>
              </w:rPr>
              <w:t>Various</w:t>
            </w:r>
            <w:proofErr w:type="spellEnd"/>
            <w:r>
              <w:rPr>
                <w:rFonts w:eastAsia="Times New Roman" w:cstheme="minorHAnsi"/>
                <w:color w:val="000000"/>
                <w:lang w:eastAsia="de-DE"/>
              </w:rPr>
              <w:t xml:space="preserve"> </w:t>
            </w:r>
            <w:proofErr w:type="spellStart"/>
            <w:r>
              <w:rPr>
                <w:rFonts w:eastAsia="Times New Roman" w:cstheme="minorHAnsi"/>
                <w:color w:val="000000"/>
                <w:lang w:eastAsia="de-DE"/>
              </w:rPr>
              <w:t>expense</w:t>
            </w:r>
            <w:proofErr w:type="spellEnd"/>
            <w:r>
              <w:rPr>
                <w:rFonts w:eastAsia="Times New Roman" w:cstheme="minorHAnsi"/>
                <w:color w:val="000000"/>
                <w:lang w:eastAsia="de-DE"/>
              </w:rPr>
              <w:t xml:space="preserve"> </w:t>
            </w:r>
            <w:proofErr w:type="spellStart"/>
            <w:r>
              <w:rPr>
                <w:rFonts w:eastAsia="Times New Roman" w:cstheme="minorHAnsi"/>
                <w:color w:val="000000"/>
                <w:lang w:eastAsia="de-DE"/>
              </w:rPr>
              <w:t>postings</w:t>
            </w:r>
            <w:proofErr w:type="spellEnd"/>
          </w:p>
        </w:tc>
        <w:tc>
          <w:tcPr>
            <w:tcW w:w="1959" w:type="dxa"/>
            <w:vAlign w:val="center"/>
            <w:hideMark/>
          </w:tcPr>
          <w:p w:rsidR="00D51EAD" w:rsidRPr="00D51EAD" w:rsidRDefault="00D51EAD" w:rsidP="00D51EAD">
            <w:pPr>
              <w:spacing w:after="0" w:line="360" w:lineRule="auto"/>
              <w:jc w:val="both"/>
              <w:rPr>
                <w:rFonts w:eastAsia="Times New Roman" w:cstheme="minorHAnsi"/>
                <w:lang w:eastAsia="de-DE"/>
              </w:rPr>
            </w:pPr>
          </w:p>
        </w:tc>
        <w:tc>
          <w:tcPr>
            <w:tcW w:w="2404" w:type="dxa"/>
            <w:vAlign w:val="center"/>
            <w:hideMark/>
          </w:tcPr>
          <w:p w:rsidR="00D51EAD" w:rsidRPr="00D51EAD" w:rsidRDefault="00D51EAD" w:rsidP="00D51EAD">
            <w:pPr>
              <w:spacing w:after="0" w:line="360" w:lineRule="auto"/>
              <w:jc w:val="both"/>
              <w:rPr>
                <w:rFonts w:eastAsia="Times New Roman" w:cstheme="minorHAnsi"/>
                <w:lang w:eastAsia="de-DE"/>
              </w:rPr>
            </w:pPr>
          </w:p>
        </w:tc>
      </w:tr>
      <w:tr w:rsidR="00417EFB" w:rsidRPr="00D51EAD" w:rsidTr="00417EFB">
        <w:tc>
          <w:tcPr>
            <w:tcW w:w="1725" w:type="dxa"/>
            <w:tcBorders>
              <w:top w:val="single" w:sz="4" w:space="0" w:color="auto"/>
              <w:left w:val="single" w:sz="4" w:space="0" w:color="auto"/>
              <w:bottom w:val="single" w:sz="4" w:space="0" w:color="auto"/>
              <w:right w:val="single" w:sz="4" w:space="0" w:color="auto"/>
            </w:tcBorders>
            <w:vAlign w:val="center"/>
            <w:hideMark/>
          </w:tcPr>
          <w:p w:rsidR="00417EFB" w:rsidRPr="00D51EAD" w:rsidRDefault="00417EFB" w:rsidP="00417EFB">
            <w:pPr>
              <w:spacing w:after="0" w:line="360" w:lineRule="auto"/>
              <w:jc w:val="both"/>
              <w:rPr>
                <w:rFonts w:eastAsia="Times New Roman" w:cstheme="minorHAnsi"/>
                <w:lang w:eastAsia="de-DE"/>
              </w:rPr>
            </w:pPr>
            <w:r w:rsidRPr="00D51EAD">
              <w:rPr>
                <w:rFonts w:eastAsia="Times New Roman" w:cstheme="minorHAnsi"/>
                <w:b/>
                <w:bCs/>
                <w:color w:val="000000"/>
                <w:lang w:eastAsia="de-DE"/>
              </w:rPr>
              <w:t xml:space="preserve">50.000,00 </w:t>
            </w:r>
          </w:p>
        </w:tc>
        <w:tc>
          <w:tcPr>
            <w:tcW w:w="2974" w:type="dxa"/>
            <w:tcBorders>
              <w:top w:val="single" w:sz="4" w:space="0" w:color="auto"/>
              <w:left w:val="single" w:sz="4" w:space="0" w:color="auto"/>
              <w:bottom w:val="single" w:sz="4" w:space="0" w:color="auto"/>
              <w:right w:val="single" w:sz="4" w:space="0" w:color="auto"/>
            </w:tcBorders>
            <w:vAlign w:val="center"/>
            <w:hideMark/>
          </w:tcPr>
          <w:p w:rsidR="00417EFB" w:rsidRPr="00D51EAD" w:rsidRDefault="00417EFB" w:rsidP="00417EFB">
            <w:pPr>
              <w:spacing w:after="0" w:line="240" w:lineRule="auto"/>
              <w:jc w:val="both"/>
              <w:rPr>
                <w:rFonts w:eastAsia="Times New Roman" w:cstheme="minorHAnsi"/>
                <w:lang w:val="en-US" w:eastAsia="de-DE"/>
              </w:rPr>
            </w:pPr>
            <w:r w:rsidRPr="00926C31">
              <w:rPr>
                <w:rFonts w:eastAsia="Times New Roman" w:cstheme="minorHAnsi"/>
                <w:b/>
                <w:bCs/>
                <w:color w:val="000000"/>
                <w:lang w:val="en-US" w:eastAsia="de-DE"/>
              </w:rPr>
              <w:t xml:space="preserve">Balance of general and administrative expenses </w:t>
            </w:r>
            <w:r w:rsidRPr="00417EFB">
              <w:rPr>
                <w:rFonts w:eastAsia="Times New Roman" w:cstheme="minorHAnsi"/>
                <w:b/>
                <w:bCs/>
                <w:color w:val="000000"/>
                <w:lang w:val="en-US" w:eastAsia="de-DE"/>
              </w:rPr>
              <w:t xml:space="preserve">(*) </w:t>
            </w:r>
          </w:p>
        </w:tc>
        <w:tc>
          <w:tcPr>
            <w:tcW w:w="1959" w:type="dxa"/>
            <w:tcBorders>
              <w:top w:val="single" w:sz="4" w:space="0" w:color="auto"/>
              <w:left w:val="single" w:sz="4" w:space="0" w:color="auto"/>
              <w:bottom w:val="single" w:sz="4" w:space="0" w:color="auto"/>
              <w:right w:val="single" w:sz="4" w:space="0" w:color="auto"/>
            </w:tcBorders>
            <w:vAlign w:val="center"/>
            <w:hideMark/>
          </w:tcPr>
          <w:p w:rsidR="00417EFB" w:rsidRPr="00D51EAD" w:rsidRDefault="00417EFB" w:rsidP="00417EFB">
            <w:pPr>
              <w:spacing w:after="0" w:line="360" w:lineRule="auto"/>
              <w:jc w:val="both"/>
              <w:rPr>
                <w:rFonts w:eastAsia="Times New Roman" w:cstheme="minorHAnsi"/>
                <w:lang w:eastAsia="de-DE"/>
              </w:rPr>
            </w:pPr>
            <w:r w:rsidRPr="00D51EAD">
              <w:rPr>
                <w:rFonts w:eastAsia="Times New Roman" w:cstheme="minorHAnsi"/>
                <w:b/>
                <w:bCs/>
                <w:color w:val="000000"/>
                <w:lang w:eastAsia="de-DE"/>
              </w:rPr>
              <w:t xml:space="preserve">50.000,00 </w:t>
            </w:r>
          </w:p>
        </w:tc>
        <w:tc>
          <w:tcPr>
            <w:tcW w:w="2404" w:type="dxa"/>
            <w:tcBorders>
              <w:top w:val="single" w:sz="4" w:space="0" w:color="auto"/>
              <w:left w:val="single" w:sz="4" w:space="0" w:color="auto"/>
              <w:bottom w:val="single" w:sz="4" w:space="0" w:color="auto"/>
              <w:right w:val="single" w:sz="4" w:space="0" w:color="auto"/>
            </w:tcBorders>
            <w:vAlign w:val="center"/>
            <w:hideMark/>
          </w:tcPr>
          <w:p w:rsidR="00417EFB" w:rsidRPr="00D51EAD" w:rsidRDefault="00417EFB" w:rsidP="00417EFB">
            <w:pPr>
              <w:spacing w:after="0" w:line="360" w:lineRule="auto"/>
              <w:jc w:val="both"/>
              <w:rPr>
                <w:rFonts w:eastAsia="Times New Roman" w:cstheme="minorHAnsi"/>
                <w:lang w:eastAsia="de-DE"/>
              </w:rPr>
            </w:pPr>
            <w:r>
              <w:rPr>
                <w:rFonts w:eastAsia="Times New Roman" w:cstheme="minorHAnsi"/>
                <w:b/>
                <w:bCs/>
                <w:color w:val="000000"/>
                <w:lang w:eastAsia="de-DE"/>
              </w:rPr>
              <w:t>Balance Revenue</w:t>
            </w:r>
          </w:p>
        </w:tc>
      </w:tr>
    </w:tbl>
    <w:p w:rsidR="00D51EAD" w:rsidRDefault="00D51EAD" w:rsidP="00D51EAD">
      <w:pPr>
        <w:spacing w:line="360" w:lineRule="auto"/>
        <w:jc w:val="both"/>
        <w:rPr>
          <w:rFonts w:eastAsia="Times New Roman" w:cstheme="minorHAnsi"/>
          <w:i/>
          <w:iCs/>
          <w:color w:val="000000"/>
          <w:lang w:val="en-US" w:eastAsia="de-DE"/>
        </w:rPr>
      </w:pPr>
      <w:r w:rsidRPr="00417EFB">
        <w:rPr>
          <w:rFonts w:eastAsia="Times New Roman" w:cstheme="minorHAnsi"/>
          <w:color w:val="000000"/>
          <w:lang w:val="en-US" w:eastAsia="de-DE"/>
        </w:rPr>
        <w:t xml:space="preserve">(*) </w:t>
      </w:r>
      <w:r w:rsidR="00417EFB">
        <w:rPr>
          <w:rFonts w:eastAsia="Times New Roman" w:cstheme="minorHAnsi"/>
          <w:i/>
          <w:iCs/>
          <w:color w:val="000000"/>
          <w:lang w:val="en-US" w:eastAsia="de-DE"/>
        </w:rPr>
        <w:t>T</w:t>
      </w:r>
      <w:r w:rsidR="00417EFB" w:rsidRPr="00417EFB">
        <w:rPr>
          <w:rFonts w:eastAsia="Times New Roman" w:cstheme="minorHAnsi"/>
          <w:i/>
          <w:iCs/>
          <w:color w:val="000000"/>
          <w:lang w:val="en-US" w:eastAsia="de-DE"/>
        </w:rPr>
        <w:t>his sum is shown in SAP as the sum of general and administrative expenses</w:t>
      </w:r>
      <w:r w:rsidR="00417EFB">
        <w:rPr>
          <w:rFonts w:eastAsia="Times New Roman" w:cstheme="minorHAnsi"/>
          <w:i/>
          <w:iCs/>
          <w:color w:val="000000"/>
          <w:lang w:val="en-US" w:eastAsia="de-DE"/>
        </w:rPr>
        <w:t>.</w:t>
      </w:r>
    </w:p>
    <w:p w:rsidR="00691EB8" w:rsidRDefault="00691EB8" w:rsidP="00691EB8">
      <w:pPr>
        <w:spacing w:after="0" w:line="240" w:lineRule="auto"/>
        <w:rPr>
          <w:rFonts w:ascii="ArialMT" w:eastAsia="Times New Roman" w:hAnsi="ArialMT" w:cs="Times New Roman"/>
          <w:color w:val="000000"/>
          <w:lang w:eastAsia="de-DE"/>
        </w:rPr>
      </w:pPr>
    </w:p>
    <w:p w:rsidR="003F3530" w:rsidRDefault="003F3530" w:rsidP="00691EB8">
      <w:pPr>
        <w:spacing w:after="0" w:line="240" w:lineRule="auto"/>
        <w:rPr>
          <w:rFonts w:ascii="ArialMT" w:eastAsia="Times New Roman" w:hAnsi="ArialMT" w:cs="Times New Roman"/>
          <w:color w:val="000000"/>
          <w:lang w:eastAsia="de-DE"/>
        </w:rPr>
      </w:pPr>
    </w:p>
    <w:p w:rsidR="00691EB8" w:rsidRPr="003F3530" w:rsidRDefault="003F3530" w:rsidP="003F3530">
      <w:pPr>
        <w:spacing w:after="0" w:line="360" w:lineRule="auto"/>
        <w:jc w:val="both"/>
        <w:rPr>
          <w:rFonts w:eastAsia="Times New Roman" w:cstheme="minorHAnsi"/>
          <w:color w:val="000000"/>
          <w:lang w:val="en-US" w:eastAsia="de-DE"/>
        </w:rPr>
      </w:pPr>
      <w:r w:rsidRPr="003F3530">
        <w:rPr>
          <w:rFonts w:eastAsia="Times New Roman" w:cstheme="minorHAnsi"/>
          <w:color w:val="000000"/>
          <w:lang w:val="en-US" w:eastAsia="de-DE"/>
        </w:rPr>
        <w:t>Calculation</w:t>
      </w:r>
      <w:r w:rsidR="00691EB8" w:rsidRPr="003F3530">
        <w:rPr>
          <w:rFonts w:eastAsia="Times New Roman" w:cstheme="minorHAnsi"/>
          <w:color w:val="000000"/>
          <w:lang w:val="en-US" w:eastAsia="de-DE"/>
        </w:rPr>
        <w:t>:</w:t>
      </w:r>
    </w:p>
    <w:p w:rsidR="00691EB8" w:rsidRPr="00691EB8" w:rsidRDefault="003F3530" w:rsidP="003F3530">
      <w:pPr>
        <w:spacing w:after="0" w:line="360" w:lineRule="auto"/>
        <w:jc w:val="both"/>
        <w:rPr>
          <w:rFonts w:eastAsia="Times New Roman" w:cstheme="minorHAnsi"/>
          <w:i/>
          <w:iCs/>
          <w:color w:val="000000"/>
          <w:lang w:val="en-US" w:eastAsia="de-DE"/>
        </w:rPr>
      </w:pPr>
      <w:r w:rsidRPr="003F3530">
        <w:rPr>
          <w:rFonts w:eastAsia="Times New Roman" w:cstheme="minorHAnsi"/>
          <w:i/>
          <w:iCs/>
          <w:color w:val="000000"/>
          <w:lang w:val="en-US" w:eastAsia="de-DE"/>
        </w:rPr>
        <w:t>The balance of the non-personnel expenses reported in SAP is used to determine the expenses for LOM and FE.</w:t>
      </w:r>
      <w:r>
        <w:rPr>
          <w:rFonts w:eastAsia="Times New Roman" w:cstheme="minorHAnsi"/>
          <w:i/>
          <w:iCs/>
          <w:color w:val="000000"/>
          <w:lang w:val="en-US" w:eastAsia="de-DE"/>
        </w:rPr>
        <w:t xml:space="preserve"> </w:t>
      </w:r>
      <w:r w:rsidRPr="003F3530">
        <w:rPr>
          <w:rFonts w:eastAsia="Times New Roman" w:cstheme="minorHAnsi"/>
          <w:i/>
          <w:iCs/>
          <w:color w:val="000000"/>
          <w:lang w:val="en-US" w:eastAsia="de-DE"/>
        </w:rPr>
        <w:t>For LOM third-party funds and R&amp;D survey, this results in expenditures for the projects in the amount of</w:t>
      </w:r>
      <w:r>
        <w:rPr>
          <w:rFonts w:eastAsia="Times New Roman" w:cstheme="minorHAnsi"/>
          <w:i/>
          <w:iCs/>
          <w:color w:val="000000"/>
          <w:lang w:val="en-US" w:eastAsia="de-DE"/>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65"/>
        <w:gridCol w:w="2625"/>
      </w:tblGrid>
      <w:tr w:rsidR="00691EB8" w:rsidRPr="00691EB8" w:rsidTr="00691EB8">
        <w:tc>
          <w:tcPr>
            <w:tcW w:w="1065" w:type="dxa"/>
            <w:tcBorders>
              <w:top w:val="single" w:sz="4" w:space="0" w:color="auto"/>
              <w:left w:val="single" w:sz="4" w:space="0" w:color="auto"/>
              <w:bottom w:val="single" w:sz="4" w:space="0" w:color="auto"/>
              <w:right w:val="single" w:sz="4" w:space="0" w:color="auto"/>
            </w:tcBorders>
            <w:vAlign w:val="center"/>
            <w:hideMark/>
          </w:tcPr>
          <w:p w:rsidR="00691EB8" w:rsidRPr="00691EB8" w:rsidRDefault="00691EB8" w:rsidP="003F3530">
            <w:pPr>
              <w:spacing w:after="0" w:line="360" w:lineRule="auto"/>
              <w:jc w:val="both"/>
              <w:rPr>
                <w:rFonts w:eastAsia="Times New Roman" w:cstheme="minorHAnsi"/>
                <w:sz w:val="24"/>
                <w:szCs w:val="24"/>
                <w:lang w:eastAsia="de-DE"/>
              </w:rPr>
            </w:pPr>
            <w:r w:rsidRPr="003F3530">
              <w:rPr>
                <w:rFonts w:eastAsia="Times New Roman" w:cstheme="minorHAnsi"/>
                <w:color w:val="000000"/>
                <w:lang w:eastAsia="de-DE"/>
              </w:rPr>
              <w:t xml:space="preserve">P3: </w:t>
            </w:r>
            <w:r w:rsidRPr="00691EB8">
              <w:rPr>
                <w:rFonts w:eastAsia="Times New Roman" w:cstheme="minorHAnsi"/>
                <w:color w:val="000000"/>
                <w:lang w:eastAsia="de-DE"/>
              </w:rPr>
              <w:br/>
            </w:r>
            <w:r w:rsidRPr="003F3530">
              <w:rPr>
                <w:rFonts w:eastAsia="Times New Roman" w:cstheme="minorHAnsi"/>
                <w:color w:val="000000"/>
                <w:lang w:eastAsia="de-DE"/>
              </w:rPr>
              <w:t xml:space="preserve">P4: </w:t>
            </w:r>
          </w:p>
        </w:tc>
        <w:tc>
          <w:tcPr>
            <w:tcW w:w="2625" w:type="dxa"/>
            <w:tcBorders>
              <w:top w:val="single" w:sz="4" w:space="0" w:color="auto"/>
              <w:left w:val="single" w:sz="4" w:space="0" w:color="auto"/>
              <w:bottom w:val="single" w:sz="4" w:space="0" w:color="auto"/>
              <w:right w:val="single" w:sz="4" w:space="0" w:color="auto"/>
            </w:tcBorders>
            <w:vAlign w:val="center"/>
            <w:hideMark/>
          </w:tcPr>
          <w:p w:rsidR="00691EB8" w:rsidRPr="00691EB8" w:rsidRDefault="00691EB8" w:rsidP="003F3530">
            <w:pPr>
              <w:spacing w:after="0" w:line="360" w:lineRule="auto"/>
              <w:jc w:val="both"/>
              <w:rPr>
                <w:rFonts w:eastAsia="Times New Roman" w:cstheme="minorHAnsi"/>
                <w:sz w:val="24"/>
                <w:szCs w:val="24"/>
                <w:lang w:eastAsia="de-DE"/>
              </w:rPr>
            </w:pPr>
            <w:r w:rsidRPr="003F3530">
              <w:rPr>
                <w:rFonts w:eastAsia="Times New Roman" w:cstheme="minorHAnsi"/>
                <w:color w:val="000000"/>
                <w:lang w:eastAsia="de-DE"/>
              </w:rPr>
              <w:t>100.000,00</w:t>
            </w:r>
            <w:r w:rsidRPr="00691EB8">
              <w:rPr>
                <w:rFonts w:eastAsia="Times New Roman" w:cstheme="minorHAnsi"/>
                <w:color w:val="000000"/>
                <w:lang w:eastAsia="de-DE"/>
              </w:rPr>
              <w:br/>
            </w:r>
            <w:r w:rsidRPr="003F3530">
              <w:rPr>
                <w:rFonts w:eastAsia="Times New Roman" w:cstheme="minorHAnsi"/>
                <w:color w:val="000000"/>
                <w:lang w:eastAsia="de-DE"/>
              </w:rPr>
              <w:t>50.000,00</w:t>
            </w:r>
          </w:p>
        </w:tc>
      </w:tr>
    </w:tbl>
    <w:p w:rsidR="003F3530" w:rsidRPr="003F3530" w:rsidRDefault="003F3530" w:rsidP="003F3530">
      <w:pPr>
        <w:spacing w:before="240" w:line="360" w:lineRule="auto"/>
        <w:jc w:val="both"/>
        <w:rPr>
          <w:rFonts w:eastAsia="Times New Roman" w:cstheme="minorHAnsi"/>
          <w:color w:val="000000"/>
          <w:lang w:eastAsia="de-DE"/>
        </w:rPr>
      </w:pPr>
      <w:proofErr w:type="spellStart"/>
      <w:r>
        <w:rPr>
          <w:rFonts w:eastAsia="Times New Roman" w:cstheme="minorHAnsi"/>
          <w:color w:val="000000"/>
          <w:lang w:eastAsia="de-DE"/>
        </w:rPr>
        <w:t>Justification</w:t>
      </w:r>
      <w:proofErr w:type="spellEnd"/>
      <w:r w:rsidR="00691EB8" w:rsidRPr="003F3530">
        <w:rPr>
          <w:rFonts w:eastAsia="Times New Roman" w:cstheme="minorHAnsi"/>
          <w:color w:val="000000"/>
          <w:lang w:eastAsia="de-DE"/>
        </w:rPr>
        <w:t>:</w:t>
      </w:r>
    </w:p>
    <w:p w:rsidR="00691EB8" w:rsidRPr="003F3530" w:rsidRDefault="003F3530" w:rsidP="003F3530">
      <w:pPr>
        <w:spacing w:line="360" w:lineRule="auto"/>
        <w:jc w:val="both"/>
        <w:rPr>
          <w:rFonts w:eastAsia="Times New Roman" w:cstheme="minorHAnsi"/>
          <w:color w:val="000000"/>
          <w:lang w:val="en-US" w:eastAsia="de-DE"/>
        </w:rPr>
      </w:pPr>
      <w:r w:rsidRPr="003F3530">
        <w:rPr>
          <w:rFonts w:eastAsia="Times New Roman" w:cstheme="minorHAnsi"/>
          <w:color w:val="000000"/>
          <w:lang w:val="en-US" w:eastAsia="de-DE"/>
        </w:rPr>
        <w:t>For the commissioning project (</w:t>
      </w:r>
      <w:proofErr w:type="gramStart"/>
      <w:r w:rsidRPr="003F3530">
        <w:rPr>
          <w:rFonts w:eastAsia="Times New Roman" w:cstheme="minorHAnsi"/>
          <w:color w:val="000000"/>
          <w:lang w:val="en-US" w:eastAsia="de-DE"/>
        </w:rPr>
        <w:t>P3)</w:t>
      </w:r>
      <w:proofErr w:type="gramEnd"/>
      <w:r w:rsidRPr="003F3530">
        <w:rPr>
          <w:rFonts w:eastAsia="Times New Roman" w:cstheme="minorHAnsi"/>
          <w:color w:val="000000"/>
          <w:lang w:val="en-US" w:eastAsia="de-DE"/>
        </w:rPr>
        <w:t xml:space="preserve"> it makes no difference whether a service is procured internally or externally, therefore the expense must be taken into account. The consideration is already included in the transmitted balance (100,000.00), since the debit entry is added to the "real" material expense. Whether the expenditures made within the scope of the "internal revenues" should be included in the commissioned project (P4) remains to be seen. However, a one-sided elimination of the CO transfer - i.e., only on the part of the service provider - according to the above formula is not permissible, since this would increase the third-party funding total, which would be problematic especially for the FE survey. However, since commissioned projects can only be LOM class 4 projects (EU projects, etc. cannot be service providers in principle), the treatment of these projects does not play a significant role. Therefore, the value reported in SAP is used without back-calculation of CO transfers.</w:t>
      </w:r>
    </w:p>
    <w:sectPr w:rsidR="00691EB8" w:rsidRPr="003F3530">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43A" w:rsidRDefault="0028043A" w:rsidP="00AC7A11">
      <w:pPr>
        <w:spacing w:after="0" w:line="240" w:lineRule="auto"/>
      </w:pPr>
      <w:r>
        <w:separator/>
      </w:r>
    </w:p>
  </w:endnote>
  <w:endnote w:type="continuationSeparator" w:id="0">
    <w:p w:rsidR="0028043A" w:rsidRDefault="0028043A" w:rsidP="00AC7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F8" w:rsidRDefault="001B78F8" w:rsidP="00AC7A11">
    <w:pPr>
      <w:pStyle w:val="Fuzeile"/>
      <w:rPr>
        <w:vertAlign w:val="superscript"/>
        <w:lang w:val="en-US"/>
      </w:rPr>
    </w:pPr>
    <w:r>
      <w:rPr>
        <w:vertAlign w:val="superscript"/>
        <w:lang w:val="en-US"/>
      </w:rPr>
      <w:t>_______________________________________________</w:t>
    </w:r>
  </w:p>
  <w:p w:rsidR="00AC7A11" w:rsidRPr="00AC7A11" w:rsidRDefault="00AC7A11" w:rsidP="00AC7A11">
    <w:pPr>
      <w:pStyle w:val="Fuzeile"/>
      <w:rPr>
        <w:lang w:val="en-US"/>
      </w:rPr>
    </w:pPr>
    <w:r w:rsidRPr="00AC7A11">
      <w:rPr>
        <w:vertAlign w:val="superscript"/>
        <w:lang w:val="en-US"/>
      </w:rPr>
      <w:t>1</w:t>
    </w:r>
    <w:r>
      <w:rPr>
        <w:lang w:val="en-US"/>
      </w:rPr>
      <w:t xml:space="preserve"> </w:t>
    </w:r>
    <w:r w:rsidRPr="00AC7A11">
      <w:rPr>
        <w:lang w:val="en-US"/>
      </w:rPr>
      <w:t>As a rule, projects do not provide services for other projects. Exception are</w:t>
    </w:r>
    <w:r w:rsidR="001B78F8">
      <w:rPr>
        <w:lang w:val="en-US"/>
      </w:rPr>
      <w:t xml:space="preserve"> </w:t>
    </w:r>
    <w:r w:rsidRPr="00AC7A11">
      <w:rPr>
        <w:lang w:val="en-US"/>
      </w:rPr>
      <w:t>service facilities which are financed by third-party funds</w:t>
    </w:r>
    <w:r w:rsidR="001B78F8">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43A" w:rsidRDefault="0028043A" w:rsidP="00AC7A11">
      <w:pPr>
        <w:spacing w:after="0" w:line="240" w:lineRule="auto"/>
      </w:pPr>
      <w:r>
        <w:separator/>
      </w:r>
    </w:p>
  </w:footnote>
  <w:footnote w:type="continuationSeparator" w:id="0">
    <w:p w:rsidR="0028043A" w:rsidRDefault="0028043A" w:rsidP="00AC7A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45"/>
    <w:rsid w:val="001B78F8"/>
    <w:rsid w:val="0028043A"/>
    <w:rsid w:val="003F3530"/>
    <w:rsid w:val="00417EFB"/>
    <w:rsid w:val="0047772E"/>
    <w:rsid w:val="00691EB8"/>
    <w:rsid w:val="006C3D9D"/>
    <w:rsid w:val="007B65BE"/>
    <w:rsid w:val="00926C31"/>
    <w:rsid w:val="00AC7A11"/>
    <w:rsid w:val="00B604AB"/>
    <w:rsid w:val="00D51EAD"/>
    <w:rsid w:val="00E47E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E2C3E-4F4C-4545-9414-5EF88F11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ntstyle01">
    <w:name w:val="fontstyle01"/>
    <w:basedOn w:val="Absatz-Standardschriftart"/>
    <w:rsid w:val="00AC7A11"/>
    <w:rPr>
      <w:rFonts w:ascii="Arial-BoldMT" w:hAnsi="Arial-BoldMT" w:hint="default"/>
      <w:b/>
      <w:bCs/>
      <w:i w:val="0"/>
      <w:iCs w:val="0"/>
      <w:color w:val="000000"/>
      <w:sz w:val="32"/>
      <w:szCs w:val="32"/>
    </w:rPr>
  </w:style>
  <w:style w:type="character" w:customStyle="1" w:styleId="fontstyle21">
    <w:name w:val="fontstyle21"/>
    <w:basedOn w:val="Absatz-Standardschriftart"/>
    <w:rsid w:val="00AC7A11"/>
    <w:rPr>
      <w:rFonts w:ascii="ArialMT" w:hAnsi="ArialMT" w:hint="default"/>
      <w:b w:val="0"/>
      <w:bCs w:val="0"/>
      <w:i w:val="0"/>
      <w:iCs w:val="0"/>
      <w:color w:val="000000"/>
      <w:sz w:val="20"/>
      <w:szCs w:val="20"/>
    </w:rPr>
  </w:style>
  <w:style w:type="character" w:customStyle="1" w:styleId="fontstyle31">
    <w:name w:val="fontstyle31"/>
    <w:basedOn w:val="Absatz-Standardschriftart"/>
    <w:rsid w:val="00AC7A11"/>
    <w:rPr>
      <w:rFonts w:ascii="Arial-ItalicMT" w:hAnsi="Arial-ItalicMT" w:hint="default"/>
      <w:b w:val="0"/>
      <w:bCs w:val="0"/>
      <w:i/>
      <w:iCs/>
      <w:color w:val="000000"/>
      <w:sz w:val="22"/>
      <w:szCs w:val="22"/>
    </w:rPr>
  </w:style>
  <w:style w:type="paragraph" w:styleId="Kopfzeile">
    <w:name w:val="header"/>
    <w:basedOn w:val="Standard"/>
    <w:link w:val="KopfzeileZchn"/>
    <w:uiPriority w:val="99"/>
    <w:unhideWhenUsed/>
    <w:rsid w:val="00AC7A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7A11"/>
  </w:style>
  <w:style w:type="paragraph" w:styleId="Fuzeile">
    <w:name w:val="footer"/>
    <w:basedOn w:val="Standard"/>
    <w:link w:val="FuzeileZchn"/>
    <w:uiPriority w:val="99"/>
    <w:unhideWhenUsed/>
    <w:rsid w:val="00AC7A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7A11"/>
  </w:style>
  <w:style w:type="character" w:customStyle="1" w:styleId="fontstyle41">
    <w:name w:val="fontstyle41"/>
    <w:basedOn w:val="Absatz-Standardschriftart"/>
    <w:rsid w:val="0047772E"/>
    <w:rPr>
      <w:rFonts w:ascii="Arial-ItalicMT" w:hAnsi="Arial-ItalicMT" w:hint="default"/>
      <w:b w:val="0"/>
      <w:bCs w:val="0"/>
      <w:i/>
      <w:iCs/>
      <w:color w:val="000000"/>
      <w:sz w:val="22"/>
      <w:szCs w:val="22"/>
    </w:rPr>
  </w:style>
  <w:style w:type="character" w:customStyle="1" w:styleId="fontstyle11">
    <w:name w:val="fontstyle11"/>
    <w:basedOn w:val="Absatz-Standardschriftart"/>
    <w:rsid w:val="00691EB8"/>
    <w:rPr>
      <w:rFonts w:ascii="Arial-ItalicMT" w:hAnsi="Arial-ItalicMT"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230278">
      <w:bodyDiv w:val="1"/>
      <w:marLeft w:val="0"/>
      <w:marRight w:val="0"/>
      <w:marTop w:val="0"/>
      <w:marBottom w:val="0"/>
      <w:divBdr>
        <w:top w:val="none" w:sz="0" w:space="0" w:color="auto"/>
        <w:left w:val="none" w:sz="0" w:space="0" w:color="auto"/>
        <w:bottom w:val="none" w:sz="0" w:space="0" w:color="auto"/>
        <w:right w:val="none" w:sz="0" w:space="0" w:color="auto"/>
      </w:divBdr>
    </w:div>
    <w:div w:id="1070621178">
      <w:bodyDiv w:val="1"/>
      <w:marLeft w:val="0"/>
      <w:marRight w:val="0"/>
      <w:marTop w:val="0"/>
      <w:marBottom w:val="0"/>
      <w:divBdr>
        <w:top w:val="none" w:sz="0" w:space="0" w:color="auto"/>
        <w:left w:val="none" w:sz="0" w:space="0" w:color="auto"/>
        <w:bottom w:val="none" w:sz="0" w:space="0" w:color="auto"/>
        <w:right w:val="none" w:sz="0" w:space="0" w:color="auto"/>
      </w:divBdr>
    </w:div>
    <w:div w:id="200107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930</Words>
  <Characters>5861</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Heckel Tatjana</dc:creator>
  <cp:keywords/>
  <dc:description/>
  <cp:lastModifiedBy>Noessing Nadine</cp:lastModifiedBy>
  <cp:revision>2</cp:revision>
  <dcterms:created xsi:type="dcterms:W3CDTF">2023-01-09T06:19:00Z</dcterms:created>
  <dcterms:modified xsi:type="dcterms:W3CDTF">2023-01-09T06:19:00Z</dcterms:modified>
</cp:coreProperties>
</file>